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28"/>
          <w:szCs w:val="28"/>
        </w:rPr>
      </w:pPr>
      <w:r>
        <w:rPr>
          <w:rFonts w:hint="eastAsia" w:ascii="黑体" w:eastAsia="黑体"/>
          <w:b/>
          <w:sz w:val="36"/>
          <w:szCs w:val="36"/>
        </w:rPr>
        <w:t>跨境业务人民币结算收款说明</w:t>
      </w:r>
    </w:p>
    <w:p>
      <w:pPr>
        <w:jc w:val="center"/>
      </w:pPr>
      <w:r>
        <w:rPr>
          <w:rFonts w:hint="eastAsia"/>
          <w:sz w:val="28"/>
        </w:rPr>
        <w:t>收款日期：     年</w:t>
      </w:r>
      <w:r>
        <w:rPr>
          <w:sz w:val="28"/>
        </w:rPr>
        <w:t xml:space="preserve">   </w:t>
      </w:r>
      <w:r>
        <w:rPr>
          <w:rFonts w:hint="eastAsia"/>
          <w:sz w:val="28"/>
        </w:rPr>
        <w:t>月</w:t>
      </w:r>
      <w:r>
        <w:rPr>
          <w:sz w:val="28"/>
        </w:rPr>
        <w:t xml:space="preserve">   </w:t>
      </w:r>
      <w:r>
        <w:rPr>
          <w:rFonts w:hint="eastAsia"/>
          <w:sz w:val="28"/>
        </w:rPr>
        <w:t>日</w:t>
      </w:r>
      <w:r>
        <w:t xml:space="preserve">                                                                                            </w:t>
      </w:r>
    </w:p>
    <w:tbl>
      <w:tblPr>
        <w:tblStyle w:val="4"/>
        <w:tblW w:w="10076" w:type="dxa"/>
        <w:tblInd w:w="-612" w:type="dxa"/>
        <w:tblLayout w:type="fixed"/>
        <w:tblCellMar>
          <w:top w:w="0" w:type="dxa"/>
          <w:left w:w="108" w:type="dxa"/>
          <w:bottom w:w="0" w:type="dxa"/>
          <w:right w:w="108" w:type="dxa"/>
        </w:tblCellMar>
      </w:tblPr>
      <w:tblGrid>
        <w:gridCol w:w="720"/>
        <w:gridCol w:w="2323"/>
        <w:gridCol w:w="3055"/>
        <w:gridCol w:w="8"/>
        <w:gridCol w:w="3970"/>
      </w:tblGrid>
      <w:tr>
        <w:tblPrEx>
          <w:tblLayout w:type="fixed"/>
          <w:tblCellMar>
            <w:top w:w="0" w:type="dxa"/>
            <w:left w:w="108" w:type="dxa"/>
            <w:bottom w:w="0" w:type="dxa"/>
            <w:right w:w="108" w:type="dxa"/>
          </w:tblCellMar>
        </w:tblPrEx>
        <w:trPr>
          <w:trHeight w:val="296"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r>
              <w:rPr>
                <w:rFonts w:hint="eastAsia" w:eastAsia="仿宋_GB2312"/>
                <w:b/>
                <w:sz w:val="24"/>
              </w:rPr>
              <w:t>收款企业名称：</w:t>
            </w:r>
            <w:r>
              <w:rPr>
                <w:rFonts w:eastAsia="仿宋_GB2312"/>
                <w:b/>
                <w:sz w:val="24"/>
              </w:rPr>
              <w:t xml:space="preserve">                        </w:t>
            </w:r>
          </w:p>
          <w:p>
            <w:pPr>
              <w:widowControl/>
              <w:jc w:val="left"/>
              <w:rPr>
                <w:rFonts w:ascii="宋体" w:hAnsi="宋体" w:eastAsia="仿宋_GB2312"/>
                <w:b/>
                <w:kern w:val="0"/>
                <w:sz w:val="24"/>
              </w:rPr>
            </w:pPr>
            <w:r>
              <w:rPr>
                <w:rFonts w:hint="eastAsia" w:eastAsia="仿宋_GB2312"/>
                <w:b/>
                <w:sz w:val="24"/>
              </w:rPr>
              <w:t>组织机构代码（身份证件号）：</w:t>
            </w:r>
            <w:r>
              <w:rPr>
                <w:rFonts w:eastAsia="仿宋_GB2312"/>
                <w:b/>
                <w:sz w:val="24"/>
              </w:rPr>
              <w:t xml:space="preserve"> </w:t>
            </w:r>
            <w:r>
              <w:rPr>
                <w:rFonts w:ascii="宋体" w:hAnsi="宋体" w:eastAsia="仿宋_GB2312"/>
                <w:b/>
                <w:kern w:val="0"/>
                <w:sz w:val="24"/>
              </w:rPr>
              <w:t xml:space="preserve">                                              </w:t>
            </w:r>
          </w:p>
        </w:tc>
      </w:tr>
      <w:tr>
        <w:tblPrEx>
          <w:tblLayout w:type="fixed"/>
          <w:tblCellMar>
            <w:top w:w="0" w:type="dxa"/>
            <w:left w:w="108" w:type="dxa"/>
            <w:bottom w:w="0" w:type="dxa"/>
            <w:right w:w="108" w:type="dxa"/>
          </w:tblCellMar>
        </w:tblPrEx>
        <w:trPr>
          <w:trHeight w:val="287"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仿宋_GB2312"/>
                <w:kern w:val="0"/>
                <w:sz w:val="24"/>
              </w:rPr>
            </w:pPr>
            <w:r>
              <w:rPr>
                <w:rFonts w:hint="eastAsia" w:ascii="宋体" w:hAnsi="宋体" w:eastAsia="仿宋_GB2312"/>
                <w:b/>
                <w:kern w:val="0"/>
                <w:sz w:val="24"/>
              </w:rPr>
              <w:t>收款金额合计：</w:t>
            </w:r>
            <w:r>
              <w:rPr>
                <w:rFonts w:ascii="宋体" w:hAnsi="宋体" w:eastAsia="仿宋_GB2312"/>
                <w:kern w:val="0"/>
                <w:sz w:val="24"/>
              </w:rPr>
              <w:t xml:space="preserve">          </w:t>
            </w:r>
            <w:r>
              <w:rPr>
                <w:rFonts w:ascii="宋体" w:hAnsi="宋体" w:eastAsia="仿宋_GB2312"/>
                <w:b/>
                <w:kern w:val="0"/>
                <w:sz w:val="24"/>
              </w:rPr>
              <w:t xml:space="preserve"> 元</w:t>
            </w:r>
          </w:p>
        </w:tc>
      </w:tr>
      <w:tr>
        <w:tblPrEx>
          <w:tblLayout w:type="fixed"/>
          <w:tblCellMar>
            <w:top w:w="0" w:type="dxa"/>
            <w:left w:w="108" w:type="dxa"/>
            <w:bottom w:w="0" w:type="dxa"/>
            <w:right w:w="108" w:type="dxa"/>
          </w:tblCellMar>
        </w:tblPrEx>
        <w:trPr>
          <w:trHeight w:val="310"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b/>
                <w:kern w:val="0"/>
                <w:sz w:val="24"/>
              </w:rPr>
            </w:pPr>
            <w:r>
              <w:rPr>
                <w:rFonts w:hint="eastAsia" w:ascii="宋体" w:hAnsi="宋体" w:eastAsia="仿宋_GB2312"/>
                <w:b/>
                <w:kern w:val="0"/>
                <w:sz w:val="24"/>
              </w:rPr>
              <w:t>货物贸易金额：           元</w:t>
            </w:r>
          </w:p>
        </w:tc>
      </w:tr>
      <w:tr>
        <w:tblPrEx>
          <w:tblLayout w:type="fixed"/>
          <w:tblCellMar>
            <w:top w:w="0" w:type="dxa"/>
            <w:left w:w="108" w:type="dxa"/>
            <w:bottom w:w="0" w:type="dxa"/>
            <w:right w:w="108" w:type="dxa"/>
          </w:tblCellMar>
        </w:tblPrEx>
        <w:trPr>
          <w:trHeight w:val="26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预收货款项下：</w:t>
            </w:r>
            <w:r>
              <w:rPr>
                <w:rFonts w:ascii="宋体" w:hAnsi="宋体" w:eastAsia="仿宋_GB2312"/>
                <w:kern w:val="0"/>
                <w:sz w:val="24"/>
              </w:rPr>
              <w:t xml:space="preserve">      </w:t>
            </w:r>
            <w:r>
              <w:rPr>
                <w:rFonts w:hint="eastAsia" w:ascii="宋体" w:hAnsi="宋体" w:eastAsia="仿宋_GB2312"/>
                <w:kern w:val="0"/>
                <w:sz w:val="24"/>
              </w:rPr>
              <w:t xml:space="preserve">  </w:t>
            </w:r>
            <w:r>
              <w:rPr>
                <w:rFonts w:ascii="宋体" w:hAnsi="宋体" w:eastAsia="仿宋_GB2312"/>
                <w:kern w:val="0"/>
                <w:sz w:val="24"/>
              </w:rPr>
              <w:t>元</w:t>
            </w:r>
          </w:p>
        </w:tc>
        <w:tc>
          <w:tcPr>
            <w:tcW w:w="3055" w:type="dxa"/>
            <w:tcBorders>
              <w:top w:val="single" w:color="auto" w:sz="4" w:space="0"/>
              <w:left w:val="single" w:color="auto" w:sz="4" w:space="0"/>
              <w:bottom w:val="single" w:color="auto" w:sz="4" w:space="0"/>
              <w:right w:val="single" w:color="auto" w:sz="4" w:space="0"/>
            </w:tcBorders>
            <w:vAlign w:val="center"/>
          </w:tcPr>
          <w:p>
            <w:pPr>
              <w:ind w:left="258"/>
              <w:rPr>
                <w:rFonts w:ascii="宋体" w:hAnsi="宋体" w:eastAsia="仿宋_GB2312"/>
                <w:kern w:val="0"/>
                <w:sz w:val="24"/>
              </w:rPr>
            </w:pPr>
            <w:r>
              <w:rPr>
                <w:rFonts w:hint="eastAsia" w:ascii="宋体" w:hAnsi="宋体" w:eastAsia="仿宋_GB2312"/>
                <w:kern w:val="0"/>
                <w:sz w:val="24"/>
              </w:rPr>
              <w:t>占合同金额比例：</w:t>
            </w:r>
            <w:r>
              <w:rPr>
                <w:rFonts w:ascii="宋体" w:hAnsi="宋体" w:eastAsia="仿宋_GB2312"/>
                <w:kern w:val="0"/>
                <w:sz w:val="24"/>
              </w:rPr>
              <w:t xml:space="preserve">    </w:t>
            </w:r>
            <w:r>
              <w:rPr>
                <w:rFonts w:hint="eastAsia" w:ascii="宋体" w:hAnsi="宋体" w:eastAsia="仿宋_GB2312"/>
                <w:kern w:val="0"/>
                <w:sz w:val="24"/>
              </w:rPr>
              <w:t>％</w:t>
            </w:r>
          </w:p>
        </w:tc>
        <w:tc>
          <w:tcPr>
            <w:tcW w:w="39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预计        天后报关（结账期）</w:t>
            </w:r>
          </w:p>
        </w:tc>
      </w:tr>
      <w:tr>
        <w:tblPrEx>
          <w:tblLayout w:type="fixed"/>
          <w:tblCellMar>
            <w:top w:w="0" w:type="dxa"/>
            <w:left w:w="108" w:type="dxa"/>
            <w:bottom w:w="0" w:type="dxa"/>
            <w:right w:w="108" w:type="dxa"/>
          </w:tblCellMar>
        </w:tblPrEx>
        <w:trPr>
          <w:trHeight w:val="256" w:hRule="atLeast"/>
        </w:trPr>
        <w:tc>
          <w:tcPr>
            <w:tcW w:w="720" w:type="dxa"/>
            <w:vMerge w:val="restart"/>
            <w:tcBorders>
              <w:top w:val="single" w:color="auto" w:sz="4" w:space="0"/>
              <w:left w:val="single" w:color="auto" w:sz="4" w:space="0"/>
              <w:right w:val="single" w:color="auto" w:sz="4" w:space="0"/>
            </w:tcBorders>
            <w:textDirection w:val="tbRlV"/>
            <w:vAlign w:val="center"/>
          </w:tcPr>
          <w:p>
            <w:pPr>
              <w:widowControl/>
              <w:ind w:left="113" w:right="113"/>
              <w:jc w:val="center"/>
              <w:rPr>
                <w:rFonts w:ascii="宋体" w:hAnsi="宋体" w:eastAsia="仿宋_GB2312"/>
                <w:b/>
                <w:kern w:val="0"/>
                <w:sz w:val="24"/>
              </w:rPr>
            </w:pPr>
            <w:r>
              <w:rPr>
                <w:rFonts w:hint="eastAsia" w:ascii="宋体" w:hAnsi="宋体" w:eastAsia="仿宋_GB2312"/>
                <w:b/>
                <w:kern w:val="0"/>
                <w:sz w:val="24"/>
              </w:rPr>
              <w:t>已报关</w:t>
            </w:r>
          </w:p>
        </w:tc>
        <w:tc>
          <w:tcPr>
            <w:tcW w:w="935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仿宋_GB2312"/>
                <w:kern w:val="0"/>
                <w:sz w:val="24"/>
              </w:rPr>
            </w:pPr>
            <w:r>
              <w:rPr>
                <w:rFonts w:hint="eastAsia" w:ascii="宋体" w:hAnsi="宋体" w:eastAsia="仿宋_GB2312"/>
                <w:kern w:val="0"/>
                <w:sz w:val="24"/>
              </w:rPr>
              <w:t xml:space="preserve">报关经营单位名称：                   </w:t>
            </w:r>
          </w:p>
          <w:p>
            <w:pPr>
              <w:jc w:val="left"/>
              <w:rPr>
                <w:rFonts w:ascii="宋体" w:hAnsi="宋体" w:eastAsia="仿宋_GB2312"/>
                <w:kern w:val="0"/>
                <w:sz w:val="24"/>
              </w:rPr>
            </w:pPr>
            <w:r>
              <w:rPr>
                <w:rFonts w:hint="eastAsia" w:eastAsia="仿宋_GB2312"/>
                <w:sz w:val="24"/>
              </w:rPr>
              <w:t>组织机构代码：</w:t>
            </w:r>
          </w:p>
        </w:tc>
      </w:tr>
      <w:tr>
        <w:tblPrEx>
          <w:tblLayout w:type="fixed"/>
          <w:tblCellMar>
            <w:top w:w="0" w:type="dxa"/>
            <w:left w:w="108" w:type="dxa"/>
            <w:bottom w:w="0" w:type="dxa"/>
            <w:right w:w="108" w:type="dxa"/>
          </w:tblCellMar>
        </w:tblPrEx>
        <w:trPr>
          <w:trHeight w:val="368" w:hRule="atLeast"/>
        </w:trPr>
        <w:tc>
          <w:tcPr>
            <w:tcW w:w="720" w:type="dxa"/>
            <w:vMerge w:val="continue"/>
            <w:tcBorders>
              <w:left w:val="single" w:color="auto" w:sz="4" w:space="0"/>
              <w:right w:val="single" w:color="auto" w:sz="4" w:space="0"/>
            </w:tcBorders>
            <w:textDirection w:val="tbRlV"/>
            <w:vAlign w:val="center"/>
          </w:tcPr>
          <w:p>
            <w:pPr>
              <w:widowControl/>
              <w:ind w:left="113" w:right="113"/>
              <w:jc w:val="center"/>
              <w:rPr>
                <w:rFonts w:ascii="宋体" w:hAnsi="宋体" w:eastAsia="仿宋_GB2312"/>
                <w:b/>
                <w:kern w:val="0"/>
                <w:sz w:val="24"/>
              </w:rPr>
            </w:pPr>
          </w:p>
        </w:tc>
        <w:tc>
          <w:tcPr>
            <w:tcW w:w="2323" w:type="dxa"/>
            <w:vMerge w:val="restart"/>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 xml:space="preserve">人民币报关   </w:t>
            </w:r>
            <w:r>
              <w:rPr>
                <w:rFonts w:hint="eastAsia" w:ascii="仿宋_GB2312" w:hAnsi="宋体" w:eastAsia="仿宋_GB2312"/>
                <w:kern w:val="0"/>
                <w:sz w:val="24"/>
              </w:rPr>
              <w:t>□</w:t>
            </w:r>
          </w:p>
          <w:p>
            <w:pPr>
              <w:rPr>
                <w:rFonts w:ascii="宋体" w:hAnsi="宋体" w:eastAsia="仿宋_GB2312"/>
                <w:kern w:val="0"/>
                <w:sz w:val="24"/>
              </w:rPr>
            </w:pPr>
            <w:r>
              <w:rPr>
                <w:rFonts w:hint="eastAsia" w:ascii="宋体" w:hAnsi="宋体" w:eastAsia="仿宋_GB2312"/>
                <w:kern w:val="0"/>
                <w:sz w:val="24"/>
              </w:rPr>
              <w:t xml:space="preserve">外币报关     </w:t>
            </w:r>
            <w:r>
              <w:rPr>
                <w:rFonts w:hint="eastAsia" w:ascii="仿宋_GB2312" w:hAnsi="宋体" w:eastAsia="仿宋_GB2312"/>
                <w:kern w:val="0"/>
                <w:sz w:val="24"/>
              </w:rPr>
              <w:t>□</w:t>
            </w:r>
          </w:p>
        </w:tc>
        <w:tc>
          <w:tcPr>
            <w:tcW w:w="306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一般贸易：            元</w:t>
            </w:r>
          </w:p>
        </w:tc>
        <w:tc>
          <w:tcPr>
            <w:tcW w:w="39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进料加工：                    元</w:t>
            </w:r>
          </w:p>
        </w:tc>
      </w:tr>
      <w:tr>
        <w:tblPrEx>
          <w:tblLayout w:type="fixed"/>
          <w:tblCellMar>
            <w:top w:w="0" w:type="dxa"/>
            <w:left w:w="108" w:type="dxa"/>
            <w:bottom w:w="0" w:type="dxa"/>
            <w:right w:w="108" w:type="dxa"/>
          </w:tblCellMar>
        </w:tblPrEx>
        <w:trPr>
          <w:trHeight w:val="254" w:hRule="atLeast"/>
        </w:trPr>
        <w:tc>
          <w:tcPr>
            <w:tcW w:w="720" w:type="dxa"/>
            <w:vMerge w:val="continue"/>
            <w:tcBorders>
              <w:left w:val="single" w:color="auto" w:sz="4" w:space="0"/>
              <w:right w:val="single" w:color="auto" w:sz="4" w:space="0"/>
            </w:tcBorders>
            <w:textDirection w:val="tbRlV"/>
            <w:vAlign w:val="center"/>
          </w:tcPr>
          <w:p>
            <w:pPr>
              <w:widowControl/>
              <w:ind w:left="113" w:right="113"/>
              <w:jc w:val="center"/>
              <w:rPr>
                <w:rFonts w:ascii="宋体" w:hAnsi="宋体" w:eastAsia="仿宋_GB2312"/>
                <w:b/>
                <w:kern w:val="0"/>
                <w:sz w:val="24"/>
              </w:rPr>
            </w:pPr>
          </w:p>
        </w:tc>
        <w:tc>
          <w:tcPr>
            <w:tcW w:w="2323" w:type="dxa"/>
            <w:vMerge w:val="continue"/>
            <w:tcBorders>
              <w:left w:val="single" w:color="auto" w:sz="4" w:space="0"/>
              <w:right w:val="single" w:color="auto" w:sz="4" w:space="0"/>
            </w:tcBorders>
            <w:vAlign w:val="center"/>
          </w:tcPr>
          <w:p>
            <w:pPr>
              <w:rPr>
                <w:rFonts w:ascii="宋体" w:hAnsi="宋体" w:eastAsia="仿宋_GB2312"/>
                <w:kern w:val="0"/>
                <w:sz w:val="24"/>
              </w:rPr>
            </w:pPr>
          </w:p>
        </w:tc>
        <w:tc>
          <w:tcPr>
            <w:tcW w:w="3063" w:type="dxa"/>
            <w:gridSpan w:val="2"/>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其他贸易：            元</w:t>
            </w:r>
          </w:p>
        </w:tc>
        <w:tc>
          <w:tcPr>
            <w:tcW w:w="3970" w:type="dxa"/>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边境贸易：                    元</w:t>
            </w:r>
          </w:p>
        </w:tc>
      </w:tr>
      <w:tr>
        <w:tblPrEx>
          <w:tblLayout w:type="fixed"/>
          <w:tblCellMar>
            <w:top w:w="0" w:type="dxa"/>
            <w:left w:w="108" w:type="dxa"/>
            <w:bottom w:w="0" w:type="dxa"/>
            <w:right w:w="108" w:type="dxa"/>
          </w:tblCellMar>
        </w:tblPrEx>
        <w:trPr>
          <w:trHeight w:val="218" w:hRule="atLeast"/>
        </w:trPr>
        <w:tc>
          <w:tcPr>
            <w:tcW w:w="3043" w:type="dxa"/>
            <w:gridSpan w:val="2"/>
            <w:vMerge w:val="restart"/>
            <w:tcBorders>
              <w:top w:val="single" w:color="auto" w:sz="4" w:space="0"/>
              <w:left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无货物报关</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海关特殊监管区域及保税监管场所进出境物流货物：         元</w:t>
            </w:r>
          </w:p>
        </w:tc>
      </w:tr>
      <w:tr>
        <w:tblPrEx>
          <w:tblLayout w:type="fixed"/>
          <w:tblCellMar>
            <w:top w:w="0" w:type="dxa"/>
            <w:left w:w="108" w:type="dxa"/>
            <w:bottom w:w="0" w:type="dxa"/>
            <w:right w:w="108" w:type="dxa"/>
          </w:tblCellMar>
        </w:tblPrEx>
        <w:trPr>
          <w:trHeight w:val="167" w:hRule="atLeast"/>
        </w:trPr>
        <w:tc>
          <w:tcPr>
            <w:tcW w:w="3043" w:type="dxa"/>
            <w:gridSpan w:val="2"/>
            <w:vMerge w:val="continue"/>
            <w:tcBorders>
              <w:left w:val="single" w:color="auto" w:sz="4" w:space="0"/>
              <w:right w:val="single" w:color="auto" w:sz="4" w:space="0"/>
            </w:tcBorders>
            <w:vAlign w:val="center"/>
          </w:tcPr>
          <w:p>
            <w:pPr>
              <w:widowControl/>
              <w:rPr>
                <w:rFonts w:ascii="宋体" w:hAnsi="宋体" w:eastAsia="仿宋_GB2312"/>
                <w:kern w:val="0"/>
                <w:sz w:val="24"/>
              </w:rPr>
            </w:pPr>
          </w:p>
        </w:tc>
        <w:tc>
          <w:tcPr>
            <w:tcW w:w="3063" w:type="dxa"/>
            <w:gridSpan w:val="2"/>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离岸转手买卖：        元</w:t>
            </w:r>
          </w:p>
        </w:tc>
        <w:tc>
          <w:tcPr>
            <w:tcW w:w="3970" w:type="dxa"/>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其他：                        元</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服务贸易：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vMerge w:val="restart"/>
            <w:tcBorders>
              <w:top w:val="single" w:color="auto" w:sz="4" w:space="0"/>
              <w:left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投资收益：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vMerge w:val="continue"/>
            <w:tcBorders>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批准证书号（仅汇入直投收益时填报）：</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经常转移：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资本账户：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直接投资：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            批准证书号：</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证券投资：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其他投资：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cantSplit/>
          <w:trHeight w:val="898" w:hRule="atLeast"/>
        </w:trPr>
        <w:tc>
          <w:tcPr>
            <w:tcW w:w="10076" w:type="dxa"/>
            <w:gridSpan w:val="5"/>
            <w:tcBorders>
              <w:top w:val="single" w:color="auto" w:sz="4" w:space="0"/>
              <w:left w:val="single" w:color="auto" w:sz="4" w:space="0"/>
              <w:right w:val="single" w:color="auto" w:sz="4" w:space="0"/>
            </w:tcBorders>
          </w:tcPr>
          <w:p>
            <w:pPr>
              <w:widowControl/>
              <w:rPr>
                <w:rFonts w:ascii="宋体" w:hAnsi="宋体" w:eastAsia="仿宋_GB2312"/>
                <w:kern w:val="0"/>
                <w:sz w:val="24"/>
              </w:rPr>
            </w:pPr>
            <w:r>
              <w:rPr>
                <w:rFonts w:hint="eastAsia" w:ascii="宋体" w:hAnsi="宋体" w:eastAsia="仿宋_GB2312"/>
                <w:kern w:val="0"/>
                <w:sz w:val="24"/>
              </w:rPr>
              <w:t>备注：</w:t>
            </w:r>
          </w:p>
        </w:tc>
      </w:tr>
      <w:tr>
        <w:tblPrEx>
          <w:tblLayout w:type="fixed"/>
          <w:tblCellMar>
            <w:top w:w="0" w:type="dxa"/>
            <w:left w:w="108" w:type="dxa"/>
            <w:bottom w:w="0" w:type="dxa"/>
            <w:right w:w="108" w:type="dxa"/>
          </w:tblCellMar>
        </w:tblPrEx>
        <w:trPr>
          <w:trHeight w:val="491"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仿宋_GB2312"/>
                <w:b/>
                <w:kern w:val="0"/>
                <w:sz w:val="18"/>
                <w:szCs w:val="18"/>
              </w:rPr>
            </w:pPr>
            <w:r>
              <w:rPr>
                <w:rFonts w:hint="eastAsia" w:ascii="宋体" w:hAnsi="宋体" w:eastAsia="仿宋_GB2312"/>
                <w:b/>
                <w:kern w:val="0"/>
                <w:sz w:val="18"/>
                <w:szCs w:val="18"/>
              </w:rPr>
              <w:t>本企业申明：本表所填内容真实无误。如有虚假，视为违反跨境人民币结算管理规定，将承担相应后果。</w:t>
            </w:r>
          </w:p>
        </w:tc>
      </w:tr>
    </w:tbl>
    <w:p>
      <w:pPr>
        <w:ind w:firstLine="560" w:firstLineChars="200"/>
        <w:rPr>
          <w:sz w:val="28"/>
        </w:rPr>
      </w:pPr>
      <w:r>
        <w:rPr>
          <w:rFonts w:hint="eastAsia"/>
          <w:sz w:val="28"/>
        </w:rPr>
        <w:t>单位公章或财务专用章</w:t>
      </w:r>
      <w:r>
        <w:rPr>
          <w:sz w:val="28"/>
        </w:rPr>
        <w:t xml:space="preserve">     </w:t>
      </w:r>
      <w:r>
        <w:rPr>
          <w:rFonts w:hint="eastAsia"/>
          <w:sz w:val="28"/>
        </w:rPr>
        <w:t>填报人：</w:t>
      </w:r>
      <w:r>
        <w:rPr>
          <w:sz w:val="28"/>
        </w:rPr>
        <w:t xml:space="preserve">         </w:t>
      </w:r>
      <w:r>
        <w:rPr>
          <w:rFonts w:hint="eastAsia"/>
          <w:sz w:val="28"/>
        </w:rPr>
        <w:t>联系电话：</w:t>
      </w:r>
      <w:r>
        <w:rPr>
          <w:sz w:val="28"/>
        </w:rPr>
        <w:t xml:space="preserve">                                                                                           </w:t>
      </w:r>
    </w:p>
    <w:p>
      <w:pPr>
        <w:ind w:firstLine="180"/>
        <w:rPr>
          <w:rFonts w:ascii="仿宋_GB2312" w:hAnsi="宋体" w:eastAsia="仿宋_GB2312"/>
          <w:b/>
          <w:kern w:val="0"/>
          <w:sz w:val="24"/>
        </w:rPr>
      </w:pPr>
    </w:p>
    <w:p>
      <w:pPr>
        <w:ind w:firstLine="180"/>
        <w:rPr>
          <w:rFonts w:ascii="仿宋_GB2312" w:hAnsi="宋体" w:eastAsia="仿宋_GB2312"/>
          <w:b/>
          <w:kern w:val="0"/>
          <w:sz w:val="24"/>
        </w:rPr>
      </w:pPr>
      <w:r>
        <w:rPr>
          <w:rFonts w:hint="eastAsia" w:ascii="仿宋_GB2312" w:hAnsi="宋体" w:eastAsia="仿宋_GB2312"/>
          <w:b/>
          <w:kern w:val="0"/>
          <w:sz w:val="24"/>
        </w:rPr>
        <w:t xml:space="preserve">填表说明： </w:t>
      </w:r>
    </w:p>
    <w:p>
      <w:pPr>
        <w:ind w:left="359"/>
        <w:rPr>
          <w:rFonts w:ascii="仿宋_GB2312" w:hAnsi="宋体" w:eastAsia="仿宋_GB2312"/>
          <w:kern w:val="0"/>
        </w:rPr>
      </w:pPr>
      <w:r>
        <w:rPr>
          <w:rFonts w:hint="eastAsia" w:ascii="仿宋_GB2312" w:hAnsi="宋体" w:eastAsia="仿宋_GB2312"/>
          <w:kern w:val="0"/>
        </w:rPr>
        <w:t>一般贸易：指海关监管贸易方式为“01</w:t>
      </w:r>
      <w:r>
        <w:rPr>
          <w:rFonts w:ascii="仿宋_GB2312" w:hAnsi="宋体" w:eastAsia="仿宋_GB2312"/>
          <w:kern w:val="0"/>
        </w:rPr>
        <w:t>10”的贸易类型。</w:t>
      </w:r>
    </w:p>
    <w:p>
      <w:pPr>
        <w:ind w:left="360"/>
        <w:rPr>
          <w:rFonts w:ascii="仿宋_GB2312" w:hAnsi="宋体" w:eastAsia="仿宋_GB2312"/>
          <w:kern w:val="0"/>
        </w:rPr>
      </w:pPr>
      <w:r>
        <w:rPr>
          <w:rFonts w:hint="eastAsia" w:ascii="仿宋_GB2312" w:hAnsi="宋体" w:eastAsia="仿宋_GB2312"/>
          <w:kern w:val="0"/>
        </w:rPr>
        <w:t>进料加工贸易：指海关监管贸易方式为“</w:t>
      </w:r>
      <w:r>
        <w:rPr>
          <w:rFonts w:ascii="仿宋_GB2312" w:hAnsi="宋体" w:eastAsia="仿宋_GB2312"/>
          <w:kern w:val="0"/>
        </w:rPr>
        <w:t>0615进料对口”、“0654进料深加工”、“0664进料料件复出”、“0700进料料件退换”、“0715进料非对口”、“0864进料边角料复出”。</w:t>
      </w:r>
    </w:p>
    <w:p>
      <w:pPr>
        <w:ind w:left="1440" w:hanging="1080"/>
        <w:rPr>
          <w:rFonts w:ascii="仿宋_GB2312" w:hAnsi="宋体" w:eastAsia="仿宋_GB2312"/>
          <w:kern w:val="0"/>
        </w:rPr>
      </w:pPr>
      <w:r>
        <w:rPr>
          <w:rFonts w:hint="eastAsia" w:ascii="仿宋_GB2312" w:hAnsi="宋体" w:eastAsia="仿宋_GB2312"/>
          <w:kern w:val="0"/>
        </w:rPr>
        <w:t>边境贸易：</w:t>
      </w:r>
      <w:r>
        <w:rPr>
          <w:rFonts w:hint="eastAsia" w:ascii="仿宋_GB2312" w:hAnsi="宋体" w:eastAsia="仿宋_GB2312"/>
          <w:bCs/>
          <w:kern w:val="0"/>
        </w:rPr>
        <w:t>指根据国家相关规定在指定口岸与毗邻国家之间开展的货物贸易。</w:t>
      </w:r>
    </w:p>
    <w:p>
      <w:pPr>
        <w:ind w:left="1440" w:hanging="1080"/>
        <w:rPr>
          <w:rFonts w:ascii="仿宋_GB2312" w:hAnsi="宋体" w:eastAsia="仿宋_GB2312"/>
          <w:kern w:val="0"/>
        </w:rPr>
      </w:pPr>
      <w:r>
        <w:rPr>
          <w:rFonts w:hint="eastAsia" w:ascii="仿宋_GB2312" w:hAnsi="宋体" w:eastAsia="仿宋_GB2312"/>
          <w:kern w:val="0"/>
        </w:rPr>
        <w:t>其他贸易：不在上列范围内的海关监管贸易方式</w:t>
      </w:r>
      <w:r>
        <w:rPr>
          <w:rFonts w:ascii="仿宋_GB2312" w:hAnsi="宋体" w:eastAsia="仿宋_GB2312"/>
          <w:kern w:val="0"/>
        </w:rPr>
        <w:t>。</w:t>
      </w:r>
    </w:p>
    <w:p>
      <w:pPr>
        <w:ind w:left="1440" w:hanging="1080"/>
        <w:rPr>
          <w:rFonts w:ascii="仿宋_GB2312" w:hAnsi="宋体" w:eastAsia="仿宋_GB2312"/>
          <w:kern w:val="0"/>
        </w:rPr>
      </w:pPr>
      <w:r>
        <w:rPr>
          <w:rFonts w:hint="eastAsia" w:ascii="仿宋_GB2312" w:hAnsi="宋体" w:eastAsia="仿宋_GB2312"/>
          <w:kern w:val="0"/>
        </w:rPr>
        <w:t>无货物报关：包括海关特殊监管区域及保税监管场所进出境物流货物、离岸转手买卖，以及其他未达到海关规定申报金额的邮寄进口或从境外付款但境内交货等方式。</w:t>
      </w:r>
    </w:p>
    <w:p>
      <w:pPr>
        <w:rPr>
          <w:rFonts w:hint="eastAsia" w:ascii="仿宋_GB2312" w:eastAsia="仿宋_GB2312"/>
          <w:sz w:val="28"/>
          <w:szCs w:val="28"/>
        </w:rPr>
      </w:pPr>
    </w:p>
    <w:p>
      <w:pPr>
        <w:rPr>
          <w:rFonts w:ascii="仿宋_GB2312" w:eastAsia="仿宋_GB2312"/>
          <w:sz w:val="28"/>
          <w:szCs w:val="28"/>
        </w:rPr>
      </w:pPr>
      <w:bookmarkStart w:id="0" w:name="_GoBack"/>
      <w:bookmarkEnd w:id="0"/>
      <w:r>
        <w:rPr>
          <w:rFonts w:hint="eastAsia" w:ascii="仿宋_GB2312" w:eastAsia="仿宋_GB2312"/>
          <w:sz w:val="28"/>
          <w:szCs w:val="28"/>
        </w:rPr>
        <w:t xml:space="preserve">    </w:t>
      </w:r>
    </w:p>
    <w:p>
      <w:pPr>
        <w:jc w:val="center"/>
        <w:rPr>
          <w:rFonts w:ascii="仿宋_GB2312" w:eastAsia="仿宋_GB2312"/>
          <w:sz w:val="28"/>
          <w:szCs w:val="28"/>
        </w:rPr>
      </w:pPr>
      <w:r>
        <w:rPr>
          <w:rFonts w:hint="eastAsia" w:ascii="黑体" w:eastAsia="黑体"/>
          <w:b/>
          <w:sz w:val="36"/>
          <w:szCs w:val="36"/>
        </w:rPr>
        <w:t>跨境业务人民币结算付款说明</w:t>
      </w:r>
    </w:p>
    <w:p>
      <w:pPr>
        <w:jc w:val="center"/>
      </w:pPr>
      <w:r>
        <w:rPr>
          <w:rFonts w:hint="eastAsia"/>
          <w:sz w:val="28"/>
        </w:rPr>
        <w:t>付款日期：     年</w:t>
      </w:r>
      <w:r>
        <w:rPr>
          <w:sz w:val="28"/>
        </w:rPr>
        <w:t xml:space="preserve">   </w:t>
      </w:r>
      <w:r>
        <w:rPr>
          <w:rFonts w:hint="eastAsia"/>
          <w:sz w:val="28"/>
        </w:rPr>
        <w:t>月</w:t>
      </w:r>
      <w:r>
        <w:rPr>
          <w:sz w:val="28"/>
        </w:rPr>
        <w:t xml:space="preserve">   </w:t>
      </w:r>
      <w:r>
        <w:rPr>
          <w:rFonts w:hint="eastAsia"/>
          <w:sz w:val="28"/>
        </w:rPr>
        <w:t>日</w:t>
      </w:r>
      <w:r>
        <w:t xml:space="preserve">                                                                                            </w:t>
      </w:r>
    </w:p>
    <w:tbl>
      <w:tblPr>
        <w:tblStyle w:val="4"/>
        <w:tblW w:w="10076" w:type="dxa"/>
        <w:tblInd w:w="-612" w:type="dxa"/>
        <w:tblLayout w:type="fixed"/>
        <w:tblCellMar>
          <w:top w:w="0" w:type="dxa"/>
          <w:left w:w="108" w:type="dxa"/>
          <w:bottom w:w="0" w:type="dxa"/>
          <w:right w:w="108" w:type="dxa"/>
        </w:tblCellMar>
      </w:tblPr>
      <w:tblGrid>
        <w:gridCol w:w="720"/>
        <w:gridCol w:w="2323"/>
        <w:gridCol w:w="3055"/>
        <w:gridCol w:w="8"/>
        <w:gridCol w:w="3970"/>
      </w:tblGrid>
      <w:tr>
        <w:tblPrEx>
          <w:tblLayout w:type="fixed"/>
          <w:tblCellMar>
            <w:top w:w="0" w:type="dxa"/>
            <w:left w:w="108" w:type="dxa"/>
            <w:bottom w:w="0" w:type="dxa"/>
            <w:right w:w="108" w:type="dxa"/>
          </w:tblCellMar>
        </w:tblPrEx>
        <w:trPr>
          <w:trHeight w:val="296"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sz w:val="24"/>
              </w:rPr>
            </w:pPr>
            <w:r>
              <w:rPr>
                <w:rFonts w:hint="eastAsia" w:eastAsia="仿宋_GB2312"/>
                <w:b/>
                <w:sz w:val="24"/>
              </w:rPr>
              <w:t>付款企业名称：</w:t>
            </w:r>
            <w:r>
              <w:rPr>
                <w:rFonts w:eastAsia="仿宋_GB2312"/>
                <w:b/>
                <w:sz w:val="24"/>
              </w:rPr>
              <w:t xml:space="preserve">                        </w:t>
            </w:r>
          </w:p>
          <w:p>
            <w:pPr>
              <w:widowControl/>
              <w:jc w:val="left"/>
              <w:rPr>
                <w:rFonts w:ascii="宋体" w:hAnsi="宋体" w:eastAsia="仿宋_GB2312"/>
                <w:b/>
                <w:kern w:val="0"/>
                <w:sz w:val="24"/>
              </w:rPr>
            </w:pPr>
            <w:r>
              <w:rPr>
                <w:rFonts w:hint="eastAsia" w:eastAsia="仿宋_GB2312"/>
                <w:b/>
                <w:sz w:val="24"/>
              </w:rPr>
              <w:t>组织机构代码（身份证件号）：</w:t>
            </w:r>
            <w:r>
              <w:rPr>
                <w:rFonts w:eastAsia="仿宋_GB2312"/>
                <w:b/>
                <w:sz w:val="24"/>
              </w:rPr>
              <w:t xml:space="preserve"> </w:t>
            </w:r>
            <w:r>
              <w:rPr>
                <w:rFonts w:ascii="宋体" w:hAnsi="宋体" w:eastAsia="仿宋_GB2312"/>
                <w:b/>
                <w:kern w:val="0"/>
                <w:sz w:val="24"/>
              </w:rPr>
              <w:t xml:space="preserve">                                              </w:t>
            </w:r>
          </w:p>
        </w:tc>
      </w:tr>
      <w:tr>
        <w:tblPrEx>
          <w:tblLayout w:type="fixed"/>
          <w:tblCellMar>
            <w:top w:w="0" w:type="dxa"/>
            <w:left w:w="108" w:type="dxa"/>
            <w:bottom w:w="0" w:type="dxa"/>
            <w:right w:w="108" w:type="dxa"/>
          </w:tblCellMar>
        </w:tblPrEx>
        <w:trPr>
          <w:trHeight w:val="287"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仿宋_GB2312"/>
                <w:kern w:val="0"/>
                <w:sz w:val="24"/>
              </w:rPr>
            </w:pPr>
            <w:r>
              <w:rPr>
                <w:rFonts w:hint="eastAsia" w:ascii="宋体" w:hAnsi="宋体" w:eastAsia="仿宋_GB2312"/>
                <w:b/>
                <w:kern w:val="0"/>
                <w:sz w:val="24"/>
              </w:rPr>
              <w:t>付款金额合计：</w:t>
            </w:r>
            <w:r>
              <w:rPr>
                <w:rFonts w:ascii="宋体" w:hAnsi="宋体" w:eastAsia="仿宋_GB2312"/>
                <w:kern w:val="0"/>
                <w:sz w:val="24"/>
              </w:rPr>
              <w:t xml:space="preserve">          </w:t>
            </w:r>
            <w:r>
              <w:rPr>
                <w:rFonts w:ascii="宋体" w:hAnsi="宋体" w:eastAsia="仿宋_GB2312"/>
                <w:b/>
                <w:kern w:val="0"/>
                <w:sz w:val="24"/>
              </w:rPr>
              <w:t xml:space="preserve"> 元</w:t>
            </w:r>
          </w:p>
        </w:tc>
      </w:tr>
      <w:tr>
        <w:tblPrEx>
          <w:tblLayout w:type="fixed"/>
          <w:tblCellMar>
            <w:top w:w="0" w:type="dxa"/>
            <w:left w:w="108" w:type="dxa"/>
            <w:bottom w:w="0" w:type="dxa"/>
            <w:right w:w="108" w:type="dxa"/>
          </w:tblCellMar>
        </w:tblPrEx>
        <w:trPr>
          <w:trHeight w:val="310"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b/>
                <w:kern w:val="0"/>
                <w:sz w:val="24"/>
              </w:rPr>
            </w:pPr>
            <w:r>
              <w:rPr>
                <w:rFonts w:hint="eastAsia" w:ascii="宋体" w:hAnsi="宋体" w:eastAsia="仿宋_GB2312"/>
                <w:b/>
                <w:kern w:val="0"/>
                <w:sz w:val="24"/>
              </w:rPr>
              <w:t>货物贸易金额：           元</w:t>
            </w:r>
          </w:p>
        </w:tc>
      </w:tr>
      <w:tr>
        <w:tblPrEx>
          <w:tblLayout w:type="fixed"/>
          <w:tblCellMar>
            <w:top w:w="0" w:type="dxa"/>
            <w:left w:w="108" w:type="dxa"/>
            <w:bottom w:w="0" w:type="dxa"/>
            <w:right w:w="108" w:type="dxa"/>
          </w:tblCellMar>
        </w:tblPrEx>
        <w:trPr>
          <w:trHeight w:val="26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预付货款项下：</w:t>
            </w:r>
            <w:r>
              <w:rPr>
                <w:rFonts w:ascii="宋体" w:hAnsi="宋体" w:eastAsia="仿宋_GB2312"/>
                <w:kern w:val="0"/>
                <w:sz w:val="24"/>
              </w:rPr>
              <w:t xml:space="preserve">      </w:t>
            </w:r>
            <w:r>
              <w:rPr>
                <w:rFonts w:hint="eastAsia" w:ascii="宋体" w:hAnsi="宋体" w:eastAsia="仿宋_GB2312"/>
                <w:kern w:val="0"/>
                <w:sz w:val="24"/>
              </w:rPr>
              <w:t xml:space="preserve">  </w:t>
            </w:r>
            <w:r>
              <w:rPr>
                <w:rFonts w:ascii="宋体" w:hAnsi="宋体" w:eastAsia="仿宋_GB2312"/>
                <w:kern w:val="0"/>
                <w:sz w:val="24"/>
              </w:rPr>
              <w:t>元</w:t>
            </w:r>
          </w:p>
        </w:tc>
        <w:tc>
          <w:tcPr>
            <w:tcW w:w="3055" w:type="dxa"/>
            <w:tcBorders>
              <w:top w:val="single" w:color="auto" w:sz="4" w:space="0"/>
              <w:left w:val="single" w:color="auto" w:sz="4" w:space="0"/>
              <w:bottom w:val="single" w:color="auto" w:sz="4" w:space="0"/>
              <w:right w:val="single" w:color="auto" w:sz="4" w:space="0"/>
            </w:tcBorders>
            <w:vAlign w:val="center"/>
          </w:tcPr>
          <w:p>
            <w:pPr>
              <w:ind w:left="258"/>
              <w:rPr>
                <w:rFonts w:ascii="宋体" w:hAnsi="宋体" w:eastAsia="仿宋_GB2312"/>
                <w:kern w:val="0"/>
                <w:sz w:val="24"/>
              </w:rPr>
            </w:pPr>
            <w:r>
              <w:rPr>
                <w:rFonts w:hint="eastAsia" w:ascii="宋体" w:hAnsi="宋体" w:eastAsia="仿宋_GB2312"/>
                <w:kern w:val="0"/>
                <w:sz w:val="24"/>
              </w:rPr>
              <w:t>占合同金额比例：</w:t>
            </w:r>
            <w:r>
              <w:rPr>
                <w:rFonts w:ascii="宋体" w:hAnsi="宋体" w:eastAsia="仿宋_GB2312"/>
                <w:kern w:val="0"/>
                <w:sz w:val="24"/>
              </w:rPr>
              <w:t xml:space="preserve">    </w:t>
            </w:r>
            <w:r>
              <w:rPr>
                <w:rFonts w:hint="eastAsia" w:ascii="宋体" w:hAnsi="宋体" w:eastAsia="仿宋_GB2312"/>
                <w:kern w:val="0"/>
                <w:sz w:val="24"/>
              </w:rPr>
              <w:t>％</w:t>
            </w:r>
          </w:p>
        </w:tc>
        <w:tc>
          <w:tcPr>
            <w:tcW w:w="39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预计        天后报关（结账期）</w:t>
            </w:r>
          </w:p>
        </w:tc>
      </w:tr>
      <w:tr>
        <w:tblPrEx>
          <w:tblLayout w:type="fixed"/>
          <w:tblCellMar>
            <w:top w:w="0" w:type="dxa"/>
            <w:left w:w="108" w:type="dxa"/>
            <w:bottom w:w="0" w:type="dxa"/>
            <w:right w:w="108" w:type="dxa"/>
          </w:tblCellMar>
        </w:tblPrEx>
        <w:trPr>
          <w:trHeight w:val="256" w:hRule="atLeast"/>
        </w:trPr>
        <w:tc>
          <w:tcPr>
            <w:tcW w:w="720" w:type="dxa"/>
            <w:vMerge w:val="restart"/>
            <w:tcBorders>
              <w:top w:val="single" w:color="auto" w:sz="4" w:space="0"/>
              <w:left w:val="single" w:color="auto" w:sz="4" w:space="0"/>
              <w:right w:val="single" w:color="auto" w:sz="4" w:space="0"/>
            </w:tcBorders>
            <w:textDirection w:val="tbRlV"/>
            <w:vAlign w:val="center"/>
          </w:tcPr>
          <w:p>
            <w:pPr>
              <w:widowControl/>
              <w:ind w:left="113" w:right="113"/>
              <w:jc w:val="center"/>
              <w:rPr>
                <w:rFonts w:ascii="宋体" w:hAnsi="宋体" w:eastAsia="仿宋_GB2312"/>
                <w:b/>
                <w:kern w:val="0"/>
                <w:sz w:val="24"/>
              </w:rPr>
            </w:pPr>
            <w:r>
              <w:rPr>
                <w:rFonts w:hint="eastAsia" w:ascii="宋体" w:hAnsi="宋体" w:eastAsia="仿宋_GB2312"/>
                <w:b/>
                <w:kern w:val="0"/>
                <w:sz w:val="24"/>
              </w:rPr>
              <w:t>已报关</w:t>
            </w:r>
          </w:p>
        </w:tc>
        <w:tc>
          <w:tcPr>
            <w:tcW w:w="9356"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仿宋_GB2312"/>
                <w:kern w:val="0"/>
                <w:sz w:val="24"/>
              </w:rPr>
            </w:pPr>
            <w:r>
              <w:rPr>
                <w:rFonts w:hint="eastAsia" w:ascii="宋体" w:hAnsi="宋体" w:eastAsia="仿宋_GB2312"/>
                <w:kern w:val="0"/>
                <w:sz w:val="24"/>
              </w:rPr>
              <w:t xml:space="preserve">报关经营单位名称：                   </w:t>
            </w:r>
          </w:p>
          <w:p>
            <w:pPr>
              <w:jc w:val="left"/>
              <w:rPr>
                <w:rFonts w:ascii="宋体" w:hAnsi="宋体" w:eastAsia="仿宋_GB2312"/>
                <w:kern w:val="0"/>
                <w:sz w:val="24"/>
              </w:rPr>
            </w:pPr>
            <w:r>
              <w:rPr>
                <w:rFonts w:hint="eastAsia" w:eastAsia="仿宋_GB2312"/>
                <w:sz w:val="24"/>
              </w:rPr>
              <w:t>组织机构代码：</w:t>
            </w:r>
          </w:p>
        </w:tc>
      </w:tr>
      <w:tr>
        <w:tblPrEx>
          <w:tblLayout w:type="fixed"/>
          <w:tblCellMar>
            <w:top w:w="0" w:type="dxa"/>
            <w:left w:w="108" w:type="dxa"/>
            <w:bottom w:w="0" w:type="dxa"/>
            <w:right w:w="108" w:type="dxa"/>
          </w:tblCellMar>
        </w:tblPrEx>
        <w:trPr>
          <w:trHeight w:val="368" w:hRule="atLeast"/>
        </w:trPr>
        <w:tc>
          <w:tcPr>
            <w:tcW w:w="720" w:type="dxa"/>
            <w:vMerge w:val="continue"/>
            <w:tcBorders>
              <w:left w:val="single" w:color="auto" w:sz="4" w:space="0"/>
              <w:right w:val="single" w:color="auto" w:sz="4" w:space="0"/>
            </w:tcBorders>
            <w:textDirection w:val="tbRlV"/>
            <w:vAlign w:val="center"/>
          </w:tcPr>
          <w:p>
            <w:pPr>
              <w:widowControl/>
              <w:ind w:left="113" w:right="113"/>
              <w:jc w:val="center"/>
              <w:rPr>
                <w:rFonts w:ascii="宋体" w:hAnsi="宋体" w:eastAsia="仿宋_GB2312"/>
                <w:b/>
                <w:kern w:val="0"/>
                <w:sz w:val="24"/>
              </w:rPr>
            </w:pPr>
          </w:p>
        </w:tc>
        <w:tc>
          <w:tcPr>
            <w:tcW w:w="2323" w:type="dxa"/>
            <w:vMerge w:val="restart"/>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 xml:space="preserve">人民币报关   </w:t>
            </w:r>
            <w:r>
              <w:rPr>
                <w:rFonts w:hint="eastAsia" w:ascii="仿宋_GB2312" w:hAnsi="宋体" w:eastAsia="仿宋_GB2312"/>
                <w:kern w:val="0"/>
                <w:sz w:val="24"/>
              </w:rPr>
              <w:t>□</w:t>
            </w:r>
          </w:p>
          <w:p>
            <w:pPr>
              <w:rPr>
                <w:rFonts w:ascii="宋体" w:hAnsi="宋体" w:eastAsia="仿宋_GB2312"/>
                <w:kern w:val="0"/>
                <w:sz w:val="24"/>
              </w:rPr>
            </w:pPr>
            <w:r>
              <w:rPr>
                <w:rFonts w:hint="eastAsia" w:ascii="宋体" w:hAnsi="宋体" w:eastAsia="仿宋_GB2312"/>
                <w:kern w:val="0"/>
                <w:sz w:val="24"/>
              </w:rPr>
              <w:t xml:space="preserve">外币报关     </w:t>
            </w:r>
            <w:r>
              <w:rPr>
                <w:rFonts w:hint="eastAsia" w:ascii="仿宋_GB2312" w:hAnsi="宋体" w:eastAsia="仿宋_GB2312"/>
                <w:kern w:val="0"/>
                <w:sz w:val="24"/>
              </w:rPr>
              <w:t>□</w:t>
            </w:r>
          </w:p>
        </w:tc>
        <w:tc>
          <w:tcPr>
            <w:tcW w:w="306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一般贸易：            元</w:t>
            </w:r>
          </w:p>
        </w:tc>
        <w:tc>
          <w:tcPr>
            <w:tcW w:w="39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进料加工：                    元</w:t>
            </w:r>
          </w:p>
        </w:tc>
      </w:tr>
      <w:tr>
        <w:tblPrEx>
          <w:tblLayout w:type="fixed"/>
          <w:tblCellMar>
            <w:top w:w="0" w:type="dxa"/>
            <w:left w:w="108" w:type="dxa"/>
            <w:bottom w:w="0" w:type="dxa"/>
            <w:right w:w="108" w:type="dxa"/>
          </w:tblCellMar>
        </w:tblPrEx>
        <w:trPr>
          <w:trHeight w:val="254" w:hRule="atLeast"/>
        </w:trPr>
        <w:tc>
          <w:tcPr>
            <w:tcW w:w="720" w:type="dxa"/>
            <w:vMerge w:val="continue"/>
            <w:tcBorders>
              <w:left w:val="single" w:color="auto" w:sz="4" w:space="0"/>
              <w:right w:val="single" w:color="auto" w:sz="4" w:space="0"/>
            </w:tcBorders>
            <w:textDirection w:val="tbRlV"/>
            <w:vAlign w:val="center"/>
          </w:tcPr>
          <w:p>
            <w:pPr>
              <w:widowControl/>
              <w:ind w:left="113" w:right="113"/>
              <w:jc w:val="center"/>
              <w:rPr>
                <w:rFonts w:ascii="宋体" w:hAnsi="宋体" w:eastAsia="仿宋_GB2312"/>
                <w:b/>
                <w:kern w:val="0"/>
                <w:sz w:val="24"/>
              </w:rPr>
            </w:pPr>
          </w:p>
        </w:tc>
        <w:tc>
          <w:tcPr>
            <w:tcW w:w="2323" w:type="dxa"/>
            <w:vMerge w:val="continue"/>
            <w:tcBorders>
              <w:left w:val="single" w:color="auto" w:sz="4" w:space="0"/>
              <w:right w:val="single" w:color="auto" w:sz="4" w:space="0"/>
            </w:tcBorders>
            <w:vAlign w:val="center"/>
          </w:tcPr>
          <w:p>
            <w:pPr>
              <w:rPr>
                <w:rFonts w:ascii="宋体" w:hAnsi="宋体" w:eastAsia="仿宋_GB2312"/>
                <w:kern w:val="0"/>
                <w:sz w:val="24"/>
              </w:rPr>
            </w:pPr>
          </w:p>
        </w:tc>
        <w:tc>
          <w:tcPr>
            <w:tcW w:w="3063" w:type="dxa"/>
            <w:gridSpan w:val="2"/>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其他贸易：            元</w:t>
            </w:r>
          </w:p>
        </w:tc>
        <w:tc>
          <w:tcPr>
            <w:tcW w:w="3970" w:type="dxa"/>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边境贸易：                    元</w:t>
            </w:r>
          </w:p>
        </w:tc>
      </w:tr>
      <w:tr>
        <w:tblPrEx>
          <w:tblLayout w:type="fixed"/>
          <w:tblCellMar>
            <w:top w:w="0" w:type="dxa"/>
            <w:left w:w="108" w:type="dxa"/>
            <w:bottom w:w="0" w:type="dxa"/>
            <w:right w:w="108" w:type="dxa"/>
          </w:tblCellMar>
        </w:tblPrEx>
        <w:trPr>
          <w:trHeight w:val="218" w:hRule="atLeast"/>
        </w:trPr>
        <w:tc>
          <w:tcPr>
            <w:tcW w:w="3043" w:type="dxa"/>
            <w:gridSpan w:val="2"/>
            <w:vMerge w:val="restart"/>
            <w:tcBorders>
              <w:top w:val="single" w:color="auto" w:sz="4" w:space="0"/>
              <w:left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无货物报关</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海关特殊监管区域及保税监管场所进出境物流货物：         元</w:t>
            </w:r>
          </w:p>
        </w:tc>
      </w:tr>
      <w:tr>
        <w:tblPrEx>
          <w:tblLayout w:type="fixed"/>
          <w:tblCellMar>
            <w:top w:w="0" w:type="dxa"/>
            <w:left w:w="108" w:type="dxa"/>
            <w:bottom w:w="0" w:type="dxa"/>
            <w:right w:w="108" w:type="dxa"/>
          </w:tblCellMar>
        </w:tblPrEx>
        <w:trPr>
          <w:trHeight w:val="167" w:hRule="atLeast"/>
        </w:trPr>
        <w:tc>
          <w:tcPr>
            <w:tcW w:w="3043" w:type="dxa"/>
            <w:gridSpan w:val="2"/>
            <w:vMerge w:val="continue"/>
            <w:tcBorders>
              <w:left w:val="single" w:color="auto" w:sz="4" w:space="0"/>
              <w:right w:val="single" w:color="auto" w:sz="4" w:space="0"/>
            </w:tcBorders>
            <w:vAlign w:val="center"/>
          </w:tcPr>
          <w:p>
            <w:pPr>
              <w:widowControl/>
              <w:rPr>
                <w:rFonts w:ascii="宋体" w:hAnsi="宋体" w:eastAsia="仿宋_GB2312"/>
                <w:kern w:val="0"/>
                <w:sz w:val="24"/>
              </w:rPr>
            </w:pPr>
          </w:p>
        </w:tc>
        <w:tc>
          <w:tcPr>
            <w:tcW w:w="3063" w:type="dxa"/>
            <w:gridSpan w:val="2"/>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离岸转手买卖：        元</w:t>
            </w:r>
          </w:p>
        </w:tc>
        <w:tc>
          <w:tcPr>
            <w:tcW w:w="3970" w:type="dxa"/>
            <w:tcBorders>
              <w:top w:val="single" w:color="auto" w:sz="4" w:space="0"/>
              <w:left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其他：                        元</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服务贸易：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vMerge w:val="restart"/>
            <w:tcBorders>
              <w:top w:val="single" w:color="auto" w:sz="4" w:space="0"/>
              <w:left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投资收益：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vMerge w:val="continue"/>
            <w:tcBorders>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批准证书号（仅汇出直投收益时填报）：</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经常转移：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资本账户：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直接投资：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            批准证书号：</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b/>
                <w:kern w:val="0"/>
                <w:sz w:val="24"/>
              </w:rPr>
            </w:pPr>
            <w:r>
              <w:rPr>
                <w:rFonts w:hint="eastAsia" w:ascii="宋体" w:hAnsi="宋体" w:eastAsia="仿宋_GB2312"/>
                <w:b/>
                <w:kern w:val="0"/>
                <w:sz w:val="24"/>
              </w:rPr>
              <w:t>证券投资：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trHeight w:val="215" w:hRule="atLeast"/>
        </w:trPr>
        <w:tc>
          <w:tcPr>
            <w:tcW w:w="30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仿宋_GB2312"/>
                <w:kern w:val="0"/>
                <w:sz w:val="24"/>
              </w:rPr>
            </w:pPr>
            <w:r>
              <w:rPr>
                <w:rFonts w:hint="eastAsia" w:ascii="宋体" w:hAnsi="宋体" w:eastAsia="仿宋_GB2312"/>
                <w:b/>
                <w:kern w:val="0"/>
                <w:sz w:val="24"/>
              </w:rPr>
              <w:t>其他投资：            元</w:t>
            </w:r>
          </w:p>
        </w:tc>
        <w:tc>
          <w:tcPr>
            <w:tcW w:w="7033"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仿宋_GB2312"/>
                <w:kern w:val="0"/>
                <w:sz w:val="24"/>
              </w:rPr>
            </w:pPr>
            <w:r>
              <w:rPr>
                <w:rFonts w:hint="eastAsia" w:ascii="宋体" w:hAnsi="宋体" w:eastAsia="仿宋_GB2312"/>
                <w:kern w:val="0"/>
                <w:sz w:val="24"/>
              </w:rPr>
              <w:t>国际收支编码：</w:t>
            </w:r>
          </w:p>
        </w:tc>
      </w:tr>
      <w:tr>
        <w:tblPrEx>
          <w:tblLayout w:type="fixed"/>
          <w:tblCellMar>
            <w:top w:w="0" w:type="dxa"/>
            <w:left w:w="108" w:type="dxa"/>
            <w:bottom w:w="0" w:type="dxa"/>
            <w:right w:w="108" w:type="dxa"/>
          </w:tblCellMar>
        </w:tblPrEx>
        <w:trPr>
          <w:cantSplit/>
          <w:trHeight w:val="898" w:hRule="atLeast"/>
        </w:trPr>
        <w:tc>
          <w:tcPr>
            <w:tcW w:w="10076" w:type="dxa"/>
            <w:gridSpan w:val="5"/>
            <w:tcBorders>
              <w:top w:val="single" w:color="auto" w:sz="4" w:space="0"/>
              <w:left w:val="single" w:color="auto" w:sz="4" w:space="0"/>
              <w:right w:val="single" w:color="auto" w:sz="4" w:space="0"/>
            </w:tcBorders>
          </w:tcPr>
          <w:p>
            <w:pPr>
              <w:widowControl/>
              <w:rPr>
                <w:rFonts w:ascii="宋体" w:hAnsi="宋体" w:eastAsia="仿宋_GB2312"/>
                <w:kern w:val="0"/>
                <w:sz w:val="24"/>
              </w:rPr>
            </w:pPr>
            <w:r>
              <w:rPr>
                <w:rFonts w:hint="eastAsia" w:ascii="宋体" w:hAnsi="宋体" w:eastAsia="仿宋_GB2312"/>
                <w:kern w:val="0"/>
                <w:sz w:val="24"/>
              </w:rPr>
              <w:t>备注：</w:t>
            </w:r>
          </w:p>
        </w:tc>
      </w:tr>
      <w:tr>
        <w:tblPrEx>
          <w:tblLayout w:type="fixed"/>
          <w:tblCellMar>
            <w:top w:w="0" w:type="dxa"/>
            <w:left w:w="108" w:type="dxa"/>
            <w:bottom w:w="0" w:type="dxa"/>
            <w:right w:w="108" w:type="dxa"/>
          </w:tblCellMar>
        </w:tblPrEx>
        <w:trPr>
          <w:trHeight w:val="491" w:hRule="atLeast"/>
        </w:trPr>
        <w:tc>
          <w:tcPr>
            <w:tcW w:w="10076"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仿宋_GB2312"/>
                <w:b/>
                <w:kern w:val="0"/>
                <w:sz w:val="18"/>
                <w:szCs w:val="18"/>
              </w:rPr>
            </w:pPr>
            <w:r>
              <w:rPr>
                <w:rFonts w:hint="eastAsia" w:ascii="宋体" w:hAnsi="宋体" w:eastAsia="仿宋_GB2312"/>
                <w:b/>
                <w:kern w:val="0"/>
                <w:sz w:val="18"/>
                <w:szCs w:val="18"/>
              </w:rPr>
              <w:t>本企业申明：本表所填内容真实无误。如有虚假，视为违反跨境人民币结算管理规定，将承担相应后果。</w:t>
            </w:r>
          </w:p>
        </w:tc>
      </w:tr>
    </w:tbl>
    <w:p>
      <w:pPr>
        <w:ind w:firstLine="560" w:firstLineChars="200"/>
        <w:rPr>
          <w:sz w:val="28"/>
        </w:rPr>
      </w:pPr>
      <w:r>
        <w:rPr>
          <w:rFonts w:hint="eastAsia"/>
          <w:sz w:val="28"/>
        </w:rPr>
        <w:t>单位公章或财务专用章</w:t>
      </w:r>
      <w:r>
        <w:rPr>
          <w:sz w:val="28"/>
        </w:rPr>
        <w:t xml:space="preserve">     </w:t>
      </w:r>
      <w:r>
        <w:rPr>
          <w:rFonts w:hint="eastAsia"/>
          <w:sz w:val="28"/>
        </w:rPr>
        <w:t>填报人：</w:t>
      </w:r>
      <w:r>
        <w:rPr>
          <w:sz w:val="28"/>
        </w:rPr>
        <w:t xml:space="preserve">         </w:t>
      </w:r>
      <w:r>
        <w:rPr>
          <w:rFonts w:hint="eastAsia"/>
          <w:sz w:val="28"/>
        </w:rPr>
        <w:t>联系电话：</w:t>
      </w:r>
      <w:r>
        <w:rPr>
          <w:sz w:val="28"/>
        </w:rPr>
        <w:t xml:space="preserve">                                                                                           </w:t>
      </w:r>
    </w:p>
    <w:p>
      <w:pPr>
        <w:ind w:firstLine="180"/>
        <w:rPr>
          <w:rFonts w:ascii="仿宋_GB2312" w:hAnsi="宋体" w:eastAsia="仿宋_GB2312"/>
          <w:b/>
          <w:kern w:val="0"/>
          <w:sz w:val="24"/>
        </w:rPr>
      </w:pPr>
    </w:p>
    <w:p>
      <w:pPr>
        <w:ind w:firstLine="180"/>
        <w:rPr>
          <w:rFonts w:ascii="仿宋_GB2312" w:hAnsi="宋体" w:eastAsia="仿宋_GB2312"/>
          <w:b/>
          <w:kern w:val="0"/>
          <w:sz w:val="24"/>
        </w:rPr>
      </w:pPr>
      <w:r>
        <w:rPr>
          <w:rFonts w:hint="eastAsia" w:ascii="仿宋_GB2312" w:hAnsi="宋体" w:eastAsia="仿宋_GB2312"/>
          <w:b/>
          <w:kern w:val="0"/>
          <w:sz w:val="24"/>
        </w:rPr>
        <w:t xml:space="preserve">填表说明： </w:t>
      </w:r>
    </w:p>
    <w:p>
      <w:pPr>
        <w:ind w:left="359"/>
        <w:rPr>
          <w:rFonts w:ascii="仿宋_GB2312" w:hAnsi="宋体" w:eastAsia="仿宋_GB2312"/>
          <w:kern w:val="0"/>
        </w:rPr>
      </w:pPr>
      <w:r>
        <w:rPr>
          <w:rFonts w:hint="eastAsia" w:ascii="仿宋_GB2312" w:hAnsi="宋体" w:eastAsia="仿宋_GB2312"/>
          <w:kern w:val="0"/>
        </w:rPr>
        <w:t>一般贸易：指海关监管贸易方式为“01</w:t>
      </w:r>
      <w:r>
        <w:rPr>
          <w:rFonts w:ascii="仿宋_GB2312" w:hAnsi="宋体" w:eastAsia="仿宋_GB2312"/>
          <w:kern w:val="0"/>
        </w:rPr>
        <w:t>10”的贸易类型。</w:t>
      </w:r>
    </w:p>
    <w:p>
      <w:pPr>
        <w:ind w:left="360"/>
        <w:rPr>
          <w:rFonts w:ascii="仿宋_GB2312" w:hAnsi="宋体" w:eastAsia="仿宋_GB2312"/>
          <w:kern w:val="0"/>
        </w:rPr>
      </w:pPr>
      <w:r>
        <w:rPr>
          <w:rFonts w:hint="eastAsia" w:ascii="仿宋_GB2312" w:hAnsi="宋体" w:eastAsia="仿宋_GB2312"/>
          <w:kern w:val="0"/>
        </w:rPr>
        <w:t>进料加工贸易：指海关监管贸易方式为“</w:t>
      </w:r>
      <w:r>
        <w:rPr>
          <w:rFonts w:ascii="仿宋_GB2312" w:hAnsi="宋体" w:eastAsia="仿宋_GB2312"/>
          <w:kern w:val="0"/>
        </w:rPr>
        <w:t>0615进料对口”、“0654进料深加工”、“0664进料料件复出”、“0700进料料件退换”、“0715进料非对口”、“0864进料边角料复出”。</w:t>
      </w:r>
    </w:p>
    <w:p>
      <w:pPr>
        <w:ind w:left="1440" w:hanging="1080"/>
        <w:rPr>
          <w:rFonts w:ascii="仿宋_GB2312" w:hAnsi="宋体" w:eastAsia="仿宋_GB2312"/>
          <w:kern w:val="0"/>
        </w:rPr>
      </w:pPr>
      <w:r>
        <w:rPr>
          <w:rFonts w:hint="eastAsia" w:ascii="仿宋_GB2312" w:hAnsi="宋体" w:eastAsia="仿宋_GB2312"/>
          <w:kern w:val="0"/>
        </w:rPr>
        <w:t>边境贸易：</w:t>
      </w:r>
      <w:r>
        <w:rPr>
          <w:rFonts w:hint="eastAsia" w:ascii="仿宋_GB2312" w:hAnsi="宋体" w:eastAsia="仿宋_GB2312"/>
          <w:bCs/>
          <w:kern w:val="0"/>
        </w:rPr>
        <w:t>指根据国家相关规定在指定口岸与毗邻国家之间开展的货物贸易。</w:t>
      </w:r>
    </w:p>
    <w:p>
      <w:pPr>
        <w:ind w:left="1440" w:hanging="1080"/>
        <w:rPr>
          <w:rFonts w:ascii="仿宋_GB2312" w:hAnsi="宋体" w:eastAsia="仿宋_GB2312"/>
          <w:kern w:val="0"/>
        </w:rPr>
      </w:pPr>
      <w:r>
        <w:rPr>
          <w:rFonts w:hint="eastAsia" w:ascii="仿宋_GB2312" w:hAnsi="宋体" w:eastAsia="仿宋_GB2312"/>
          <w:kern w:val="0"/>
        </w:rPr>
        <w:t>其他贸易：不在上列范围内的海关监管贸易方式</w:t>
      </w:r>
      <w:r>
        <w:rPr>
          <w:rFonts w:ascii="仿宋_GB2312" w:hAnsi="宋体" w:eastAsia="仿宋_GB2312"/>
          <w:kern w:val="0"/>
        </w:rPr>
        <w:t>。</w:t>
      </w:r>
    </w:p>
    <w:p>
      <w:pPr>
        <w:ind w:left="1440" w:hanging="1080"/>
        <w:rPr>
          <w:rFonts w:ascii="仿宋_GB2312" w:eastAsia="仿宋_GB2312"/>
        </w:rPr>
      </w:pPr>
      <w:r>
        <w:rPr>
          <w:rFonts w:hint="eastAsia" w:ascii="仿宋_GB2312" w:hAnsi="宋体" w:eastAsia="仿宋_GB2312"/>
          <w:kern w:val="0"/>
        </w:rPr>
        <w:t>无货物报关：包括海关特殊监管区域及保税监管场所进出境物流货物、离岸转手买卖，以及其他未达到海关规定申报金额的邮寄进口或从境外付款但境内交货等方式。</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6466B"/>
    <w:rsid w:val="2B46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2018-06-15T01:10:00Z</dcterms:created>
  <dc:creator>Administrator</dc:creator>
  <cp:lastModifiedBy>Administrator</cp:lastModifiedBy>
  <dcterms:modified xsi:type="dcterms:W3CDTF">2018-06-15T01:11:50Z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