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360" w:lineRule="auto"/>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招标编号：</w:t>
      </w:r>
      <w:r>
        <w:rPr>
          <w:rFonts w:ascii="黑体" w:eastAsia="黑体"/>
          <w:color w:val="000000" w:themeColor="text1"/>
          <w:sz w:val="28"/>
          <w:szCs w:val="28"/>
          <w14:textFill>
            <w14:solidFill>
              <w14:schemeClr w14:val="tx1"/>
            </w14:solidFill>
          </w14:textFill>
        </w:rPr>
        <w:t>KSRCBZB2025047</w:t>
      </w:r>
    </w:p>
    <w:p>
      <w:pPr>
        <w:tabs>
          <w:tab w:val="left" w:pos="8280"/>
        </w:tabs>
        <w:spacing w:line="360" w:lineRule="auto"/>
        <w:rPr>
          <w:rFonts w:ascii="黑体" w:eastAsia="黑体"/>
          <w:b/>
          <w:color w:val="000000" w:themeColor="text1"/>
          <w:sz w:val="28"/>
          <w:szCs w:val="28"/>
          <w14:textFill>
            <w14:solidFill>
              <w14:schemeClr w14:val="tx1"/>
            </w14:solidFill>
          </w14:textFill>
        </w:rPr>
      </w:pPr>
    </w:p>
    <w:p>
      <w:pPr>
        <w:tabs>
          <w:tab w:val="left" w:pos="8280"/>
        </w:tabs>
        <w:spacing w:line="360" w:lineRule="auto"/>
        <w:rPr>
          <w:rFonts w:ascii="黑体" w:eastAsia="黑体"/>
          <w:b/>
          <w:color w:val="000000" w:themeColor="text1"/>
          <w:sz w:val="28"/>
          <w14:textFill>
            <w14:solidFill>
              <w14:schemeClr w14:val="tx1"/>
            </w14:solidFill>
          </w14:textFill>
        </w:rPr>
      </w:pPr>
    </w:p>
    <w:p>
      <w:pPr>
        <w:tabs>
          <w:tab w:val="left" w:pos="8280"/>
        </w:tabs>
        <w:spacing w:line="360" w:lineRule="auto"/>
        <w:rPr>
          <w:rFonts w:ascii="黑体" w:eastAsia="黑体"/>
          <w:b/>
          <w:color w:val="000000" w:themeColor="text1"/>
          <w:sz w:val="28"/>
          <w14:textFill>
            <w14:solidFill>
              <w14:schemeClr w14:val="tx1"/>
            </w14:solidFill>
          </w14:textFill>
        </w:rPr>
      </w:pPr>
    </w:p>
    <w:p>
      <w:pPr>
        <w:tabs>
          <w:tab w:val="left" w:pos="8280"/>
        </w:tabs>
        <w:spacing w:line="360" w:lineRule="auto"/>
        <w:rPr>
          <w:rFonts w:ascii="黑体" w:eastAsia="黑体"/>
          <w:b/>
          <w:color w:val="000000" w:themeColor="text1"/>
          <w:sz w:val="28"/>
          <w14:textFill>
            <w14:solidFill>
              <w14:schemeClr w14:val="tx1"/>
            </w14:solidFill>
          </w14:textFill>
        </w:rPr>
      </w:pPr>
    </w:p>
    <w:p>
      <w:pPr>
        <w:tabs>
          <w:tab w:val="left" w:pos="8280"/>
        </w:tabs>
        <w:spacing w:line="360" w:lineRule="auto"/>
        <w:rPr>
          <w:rFonts w:ascii="黑体" w:eastAsia="黑体"/>
          <w:b/>
          <w:color w:val="000000" w:themeColor="text1"/>
          <w:sz w:val="28"/>
          <w14:textFill>
            <w14:solidFill>
              <w14:schemeClr w14:val="tx1"/>
            </w14:solidFill>
          </w14:textFill>
        </w:rPr>
      </w:pPr>
    </w:p>
    <w:p>
      <w:pPr>
        <w:tabs>
          <w:tab w:val="left" w:pos="8280"/>
        </w:tabs>
        <w:spacing w:line="360" w:lineRule="auto"/>
        <w:rPr>
          <w:rFonts w:ascii="黑体" w:eastAsia="黑体"/>
          <w:b/>
          <w:color w:val="000000" w:themeColor="text1"/>
          <w:sz w:val="28"/>
          <w14:textFill>
            <w14:solidFill>
              <w14:schemeClr w14:val="tx1"/>
            </w14:solidFill>
          </w14:textFill>
        </w:rPr>
      </w:pPr>
    </w:p>
    <w:p>
      <w:pPr>
        <w:tabs>
          <w:tab w:val="left" w:pos="8280"/>
        </w:tabs>
        <w:spacing w:line="360" w:lineRule="auto"/>
        <w:rPr>
          <w:rFonts w:ascii="黑体" w:eastAsia="黑体"/>
          <w:b/>
          <w:color w:val="000000" w:themeColor="text1"/>
          <w:sz w:val="28"/>
          <w14:textFill>
            <w14:solidFill>
              <w14:schemeClr w14:val="tx1"/>
            </w14:solidFill>
          </w14:textFill>
        </w:rPr>
      </w:pPr>
    </w:p>
    <w:p>
      <w:pPr>
        <w:pStyle w:val="2"/>
        <w:tabs>
          <w:tab w:val="left" w:pos="8280"/>
        </w:tabs>
        <w:spacing w:after="0" w:line="360" w:lineRule="auto"/>
        <w:jc w:val="center"/>
        <w:outlineLvl w:val="0"/>
        <w:rPr>
          <w:rFonts w:ascii="黑体" w:eastAsia="黑体"/>
          <w:color w:val="000000" w:themeColor="text1"/>
          <w:sz w:val="44"/>
          <w14:textFill>
            <w14:solidFill>
              <w14:schemeClr w14:val="tx1"/>
            </w14:solidFill>
          </w14:textFill>
        </w:rPr>
      </w:pPr>
      <w:r>
        <w:rPr>
          <w:rFonts w:hint="eastAsia" w:ascii="黑体" w:eastAsia="黑体"/>
          <w:color w:val="000000" w:themeColor="text1"/>
          <w:sz w:val="44"/>
          <w14:textFill>
            <w14:solidFill>
              <w14:schemeClr w14:val="tx1"/>
            </w14:solidFill>
          </w14:textFill>
        </w:rPr>
        <w:t>江苏</w:t>
      </w:r>
      <w:r>
        <w:rPr>
          <w:rFonts w:ascii="黑体" w:eastAsia="黑体"/>
          <w:color w:val="000000" w:themeColor="text1"/>
          <w:sz w:val="44"/>
          <w14:textFill>
            <w14:solidFill>
              <w14:schemeClr w14:val="tx1"/>
            </w14:solidFill>
          </w14:textFill>
        </w:rPr>
        <w:t>昆山农村商业银行</w:t>
      </w:r>
      <w:r>
        <w:rPr>
          <w:rFonts w:hint="eastAsia" w:ascii="黑体" w:eastAsia="黑体"/>
          <w:color w:val="000000" w:themeColor="text1"/>
          <w:sz w:val="44"/>
          <w14:textFill>
            <w14:solidFill>
              <w14:schemeClr w14:val="tx1"/>
            </w14:solidFill>
          </w14:textFill>
        </w:rPr>
        <w:t>股份有限公司</w:t>
      </w:r>
    </w:p>
    <w:p>
      <w:pPr>
        <w:jc w:val="center"/>
        <w:rPr>
          <w:rFonts w:ascii="黑体" w:eastAsia="黑体"/>
          <w:color w:val="000000" w:themeColor="text1"/>
          <w:sz w:val="44"/>
          <w14:textFill>
            <w14:solidFill>
              <w14:schemeClr w14:val="tx1"/>
            </w14:solidFill>
          </w14:textFill>
        </w:rPr>
      </w:pPr>
      <w:r>
        <w:rPr>
          <w:rFonts w:hint="eastAsia" w:ascii="黑体" w:eastAsia="黑体"/>
          <w:color w:val="000000" w:themeColor="text1"/>
          <w:sz w:val="44"/>
          <w14:textFill>
            <w14:solidFill>
              <w14:schemeClr w14:val="tx1"/>
            </w14:solidFill>
          </w14:textFill>
        </w:rPr>
        <w:t>安全众测及攻防服务采购项目</w:t>
      </w:r>
    </w:p>
    <w:p>
      <w:pPr>
        <w:pStyle w:val="2"/>
        <w:tabs>
          <w:tab w:val="left" w:pos="8280"/>
        </w:tabs>
        <w:spacing w:after="0" w:line="360" w:lineRule="auto"/>
        <w:jc w:val="center"/>
        <w:outlineLvl w:val="0"/>
        <w:rPr>
          <w:rFonts w:ascii="黑体" w:eastAsia="黑体"/>
          <w:color w:val="000000" w:themeColor="text1"/>
          <w:sz w:val="44"/>
          <w14:textFill>
            <w14:solidFill>
              <w14:schemeClr w14:val="tx1"/>
            </w14:solidFill>
          </w14:textFill>
        </w:rPr>
      </w:pPr>
      <w:r>
        <w:rPr>
          <w:rFonts w:ascii="黑体" w:eastAsia="黑体"/>
          <w:color w:val="000000" w:themeColor="text1"/>
          <w:sz w:val="44"/>
          <w14:textFill>
            <w14:solidFill>
              <w14:schemeClr w14:val="tx1"/>
            </w14:solidFill>
          </w14:textFill>
        </w:rPr>
        <w:t>招标书</w:t>
      </w:r>
    </w:p>
    <w:p>
      <w:pPr>
        <w:tabs>
          <w:tab w:val="left" w:pos="8280"/>
        </w:tabs>
        <w:spacing w:line="360" w:lineRule="auto"/>
        <w:jc w:val="center"/>
        <w:rPr>
          <w:rFonts w:ascii="宋体"/>
          <w:b/>
          <w:color w:val="000000" w:themeColor="text1"/>
          <w:sz w:val="48"/>
          <w14:textFill>
            <w14:solidFill>
              <w14:schemeClr w14:val="tx1"/>
            </w14:solidFill>
          </w14:textFill>
        </w:rPr>
      </w:pPr>
    </w:p>
    <w:p>
      <w:pPr>
        <w:tabs>
          <w:tab w:val="left" w:pos="8280"/>
        </w:tabs>
        <w:spacing w:line="360" w:lineRule="auto"/>
        <w:jc w:val="center"/>
        <w:rPr>
          <w:color w:val="000000" w:themeColor="text1"/>
          <w:sz w:val="48"/>
          <w14:textFill>
            <w14:solidFill>
              <w14:schemeClr w14:val="tx1"/>
            </w14:solidFill>
          </w14:textFill>
        </w:rPr>
      </w:pPr>
    </w:p>
    <w:p>
      <w:pPr>
        <w:tabs>
          <w:tab w:val="left" w:pos="8280"/>
        </w:tabs>
        <w:spacing w:line="360" w:lineRule="auto"/>
        <w:jc w:val="center"/>
        <w:rPr>
          <w:color w:val="000000" w:themeColor="text1"/>
          <w:sz w:val="48"/>
          <w14:textFill>
            <w14:solidFill>
              <w14:schemeClr w14:val="tx1"/>
            </w14:solidFill>
          </w14:textFill>
        </w:rPr>
      </w:pPr>
    </w:p>
    <w:p>
      <w:pPr>
        <w:tabs>
          <w:tab w:val="left" w:pos="8280"/>
        </w:tabs>
        <w:spacing w:line="360" w:lineRule="auto"/>
        <w:jc w:val="center"/>
        <w:rPr>
          <w:color w:val="000000" w:themeColor="text1"/>
          <w:sz w:val="48"/>
          <w14:textFill>
            <w14:solidFill>
              <w14:schemeClr w14:val="tx1"/>
            </w14:solidFill>
          </w14:textFill>
        </w:rPr>
      </w:pPr>
    </w:p>
    <w:p>
      <w:pPr>
        <w:tabs>
          <w:tab w:val="left" w:pos="8280"/>
        </w:tabs>
        <w:spacing w:line="360" w:lineRule="auto"/>
        <w:jc w:val="center"/>
        <w:rPr>
          <w:color w:val="000000" w:themeColor="text1"/>
          <w:sz w:val="48"/>
          <w14:textFill>
            <w14:solidFill>
              <w14:schemeClr w14:val="tx1"/>
            </w14:solidFill>
          </w14:textFill>
        </w:rPr>
      </w:pPr>
    </w:p>
    <w:p>
      <w:pPr>
        <w:tabs>
          <w:tab w:val="left" w:pos="8280"/>
        </w:tabs>
        <w:spacing w:line="360" w:lineRule="auto"/>
        <w:jc w:val="center"/>
        <w:rPr>
          <w:color w:val="000000" w:themeColor="text1"/>
          <w:sz w:val="48"/>
          <w14:textFill>
            <w14:solidFill>
              <w14:schemeClr w14:val="tx1"/>
            </w14:solidFill>
          </w14:textFill>
        </w:rPr>
      </w:pPr>
    </w:p>
    <w:p>
      <w:pPr>
        <w:tabs>
          <w:tab w:val="left" w:pos="8280"/>
        </w:tabs>
        <w:spacing w:line="360" w:lineRule="auto"/>
        <w:jc w:val="center"/>
        <w:rPr>
          <w:color w:val="000000" w:themeColor="text1"/>
          <w:sz w:val="48"/>
          <w14:textFill>
            <w14:solidFill>
              <w14:schemeClr w14:val="tx1"/>
            </w14:solidFill>
          </w14:textFill>
        </w:rPr>
      </w:pPr>
    </w:p>
    <w:p>
      <w:pPr>
        <w:tabs>
          <w:tab w:val="left" w:pos="8280"/>
        </w:tabs>
        <w:spacing w:line="360" w:lineRule="auto"/>
        <w:jc w:val="center"/>
        <w:rPr>
          <w:color w:val="000000" w:themeColor="text1"/>
          <w:sz w:val="48"/>
          <w14:textFill>
            <w14:solidFill>
              <w14:schemeClr w14:val="tx1"/>
            </w14:solidFill>
          </w14:textFill>
        </w:rPr>
      </w:pPr>
    </w:p>
    <w:p>
      <w:pPr>
        <w:tabs>
          <w:tab w:val="left" w:pos="8280"/>
        </w:tabs>
        <w:spacing w:line="360" w:lineRule="auto"/>
        <w:jc w:val="center"/>
        <w:rPr>
          <w:color w:val="000000" w:themeColor="text1"/>
          <w:sz w:val="48"/>
          <w14:textFill>
            <w14:solidFill>
              <w14:schemeClr w14:val="tx1"/>
            </w14:solidFill>
          </w14:textFill>
        </w:rPr>
      </w:pPr>
    </w:p>
    <w:p>
      <w:pPr>
        <w:tabs>
          <w:tab w:val="left" w:pos="8280"/>
        </w:tabs>
        <w:spacing w:line="360" w:lineRule="auto"/>
        <w:jc w:val="center"/>
        <w:outlineLvl w:val="0"/>
        <w:rPr>
          <w:rFonts w:ascii="宋体"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江苏昆山农村商业银行股份有限公司</w:t>
      </w:r>
    </w:p>
    <w:p>
      <w:pPr>
        <w:pStyle w:val="8"/>
        <w:tabs>
          <w:tab w:val="left" w:pos="8280"/>
        </w:tabs>
        <w:spacing w:line="360" w:lineRule="auto"/>
        <w:ind w:left="0" w:leftChars="0" w:firstLine="3220" w:firstLineChars="1150"/>
        <w:outlineLvl w:val="0"/>
        <w:rPr>
          <w:rFonts w:eastAsia="仿宋_GB2312"/>
          <w:color w:val="000000" w:themeColor="text1"/>
          <w:szCs w:val="28"/>
          <w14:textFill>
            <w14:solidFill>
              <w14:schemeClr w14:val="tx1"/>
            </w14:solidFill>
          </w14:textFill>
        </w:rPr>
      </w:pPr>
      <w:r>
        <w:rPr>
          <w:rFonts w:hint="eastAsia" w:eastAsia="仿宋_GB2312"/>
          <w:color w:val="000000" w:themeColor="text1"/>
          <w:szCs w:val="28"/>
          <w14:textFill>
            <w14:solidFill>
              <w14:schemeClr w14:val="tx1"/>
            </w14:solidFill>
          </w14:textFill>
        </w:rPr>
        <w:t>2025年09月</w:t>
      </w:r>
    </w:p>
    <w:p>
      <w:pPr>
        <w:spacing w:line="360" w:lineRule="auto"/>
        <w:jc w:val="center"/>
        <w:rPr>
          <w:rFonts w:ascii="黑体" w:eastAsia="黑体"/>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r>
        <w:rPr>
          <w:rFonts w:hint="eastAsia" w:ascii="黑体" w:eastAsia="黑体"/>
          <w:color w:val="000000" w:themeColor="text1"/>
          <w:sz w:val="32"/>
          <w:szCs w:val="32"/>
          <w14:textFill>
            <w14:solidFill>
              <w14:schemeClr w14:val="tx1"/>
            </w14:solidFill>
          </w14:textFill>
        </w:rPr>
        <w:t>声</w:t>
      </w:r>
      <w:r>
        <w:rPr>
          <w:rFonts w:hint="eastAsia" w:ascii="黑体" w:eastAsia="黑体"/>
          <w:color w:val="000000" w:themeColor="text1"/>
          <w:sz w:val="32"/>
          <w:szCs w:val="32"/>
          <w14:textFill>
            <w14:solidFill>
              <w14:schemeClr w14:val="tx1"/>
            </w14:solidFill>
          </w14:textFill>
        </w:rPr>
        <w:tab/>
      </w:r>
      <w:r>
        <w:rPr>
          <w:rFonts w:hint="eastAsia" w:ascii="黑体" w:eastAsia="黑体"/>
          <w:color w:val="000000" w:themeColor="text1"/>
          <w:sz w:val="32"/>
          <w:szCs w:val="32"/>
          <w14:textFill>
            <w14:solidFill>
              <w14:schemeClr w14:val="tx1"/>
            </w14:solidFill>
          </w14:textFill>
        </w:rPr>
        <w:tab/>
      </w:r>
      <w:r>
        <w:rPr>
          <w:rFonts w:hint="eastAsia" w:ascii="黑体" w:eastAsia="黑体"/>
          <w:color w:val="000000" w:themeColor="text1"/>
          <w:sz w:val="32"/>
          <w:szCs w:val="32"/>
          <w14:textFill>
            <w14:solidFill>
              <w14:schemeClr w14:val="tx1"/>
            </w14:solidFill>
          </w14:textFill>
        </w:rPr>
        <w:t>明</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本招标文件专用于江苏昆山农村商业银行股份有限公司本次采购</w:t>
      </w:r>
      <w:r>
        <w:rPr>
          <w:rFonts w:hint="eastAsia" w:ascii="仿宋_GB2312" w:eastAsia="仿宋_GB2312"/>
          <w:color w:val="000000" w:themeColor="text1"/>
          <w:sz w:val="28"/>
          <w:szCs w:val="28"/>
          <w:u w:val="single"/>
          <w14:textFill>
            <w14:solidFill>
              <w14:schemeClr w14:val="tx1"/>
            </w14:solidFill>
          </w14:textFill>
        </w:rPr>
        <w:t>安全众测及攻防服务采购项目</w:t>
      </w:r>
      <w:r>
        <w:rPr>
          <w:rFonts w:hint="eastAsia" w:ascii="仿宋_GB2312" w:eastAsia="仿宋_GB2312"/>
          <w:color w:val="000000" w:themeColor="text1"/>
          <w:sz w:val="28"/>
          <w:szCs w:val="28"/>
          <w14:textFill>
            <w14:solidFill>
              <w14:schemeClr w14:val="tx1"/>
            </w14:solidFill>
          </w14:textFill>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3"/>
        <w:keepNext w:val="0"/>
        <w:keepLines w:val="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第一部分</w:t>
      </w:r>
      <w:r>
        <w:rPr>
          <w:rFonts w:hint="eastAsia" w:ascii="黑体" w:hAnsi="黑体" w:eastAsia="黑体"/>
          <w:color w:val="000000" w:themeColor="text1"/>
          <w:sz w:val="32"/>
          <w:szCs w:val="32"/>
          <w14:textFill>
            <w14:solidFill>
              <w14:schemeClr w14:val="tx1"/>
            </w14:solidFill>
          </w14:textFill>
        </w:rPr>
        <w:tab/>
      </w:r>
      <w:r>
        <w:rPr>
          <w:rFonts w:hint="eastAsia" w:ascii="黑体" w:hAnsi="黑体" w:eastAsia="黑体"/>
          <w:color w:val="000000" w:themeColor="text1"/>
          <w:sz w:val="32"/>
          <w:szCs w:val="32"/>
          <w14:textFill>
            <w14:solidFill>
              <w14:schemeClr w14:val="tx1"/>
            </w14:solidFill>
          </w14:textFill>
        </w:rPr>
        <w:t>投标函</w:t>
      </w:r>
    </w:p>
    <w:p>
      <w:pPr>
        <w:spacing w:line="520" w:lineRule="exact"/>
        <w:ind w:left="561" w:leftChars="267"/>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根据江苏昆山农村商业银行股份有限公司业务发展的需求，现就江苏昆山农村商业银行股份有限公司采购</w:t>
      </w:r>
      <w:r>
        <w:rPr>
          <w:rFonts w:hint="eastAsia" w:ascii="仿宋_GB2312" w:eastAsia="仿宋_GB2312"/>
          <w:color w:val="000000" w:themeColor="text1"/>
          <w:sz w:val="28"/>
          <w:szCs w:val="28"/>
          <w:u w:val="single"/>
          <w14:textFill>
            <w14:solidFill>
              <w14:schemeClr w14:val="tx1"/>
            </w14:solidFill>
          </w14:textFill>
        </w:rPr>
        <w:t>安全众测及攻防服务采购项目</w:t>
      </w:r>
      <w:r>
        <w:rPr>
          <w:rFonts w:hint="eastAsia" w:ascii="仿宋_GB2312" w:eastAsia="仿宋_GB2312"/>
          <w:color w:val="000000" w:themeColor="text1"/>
          <w:sz w:val="28"/>
          <w:szCs w:val="28"/>
          <w14:textFill>
            <w14:solidFill>
              <w14:schemeClr w14:val="tx1"/>
            </w14:solidFill>
          </w14:textFill>
        </w:rPr>
        <w:t>进行招标：</w:t>
      </w:r>
    </w:p>
    <w:p>
      <w:pPr>
        <w:spacing w:line="520" w:lineRule="exact"/>
        <w:ind w:firstLine="560" w:firstLineChars="200"/>
        <w:rPr>
          <w:rFonts w:ascii="仿宋_GB2312" w:hAnsi="宋体" w:eastAsia="仿宋_GB2312"/>
          <w:color w:val="000000" w:themeColor="text1"/>
          <w:sz w:val="28"/>
          <w:u w:val="single"/>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1、招标</w:t>
      </w:r>
      <w:r>
        <w:rPr>
          <w:rFonts w:hint="eastAsia" w:ascii="仿宋_GB2312" w:hAnsi="宋体" w:eastAsia="仿宋_GB2312"/>
          <w:color w:val="000000" w:themeColor="text1"/>
          <w:sz w:val="28"/>
          <w14:textFill>
            <w14:solidFill>
              <w14:schemeClr w14:val="tx1"/>
            </w14:solidFill>
          </w14:textFill>
        </w:rPr>
        <w:t>编号：</w:t>
      </w:r>
      <w:r>
        <w:rPr>
          <w:rFonts w:ascii="仿宋_GB2312" w:hAnsi="宋体" w:eastAsia="仿宋_GB2312"/>
          <w:color w:val="000000" w:themeColor="text1"/>
          <w:sz w:val="28"/>
          <w14:textFill>
            <w14:solidFill>
              <w14:schemeClr w14:val="tx1"/>
            </w14:solidFill>
          </w14:textFill>
        </w:rPr>
        <w:t>KSRCBZB2025047</w:t>
      </w:r>
    </w:p>
    <w:p>
      <w:pPr>
        <w:spacing w:line="52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2、招标人：江苏昆山农村商业银行股份有限公司</w:t>
      </w:r>
    </w:p>
    <w:p>
      <w:pPr>
        <w:spacing w:line="520" w:lineRule="exact"/>
        <w:ind w:firstLine="560" w:firstLineChars="200"/>
        <w:jc w:val="left"/>
        <w:rPr>
          <w:rFonts w:ascii="仿宋_GB2312" w:hAnsi="宋体" w:eastAsia="仿宋_GB2312"/>
          <w:color w:val="000000" w:themeColor="text1"/>
          <w:sz w:val="28"/>
          <w:szCs w:val="28"/>
          <w:u w:val="single"/>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3、招标内容：昆山农村商业银行</w:t>
      </w:r>
      <w:r>
        <w:rPr>
          <w:rFonts w:hint="eastAsia" w:ascii="仿宋_GB2312" w:eastAsia="仿宋_GB2312"/>
          <w:color w:val="000000" w:themeColor="text1"/>
          <w:sz w:val="28"/>
          <w:szCs w:val="28"/>
          <w:u w:val="single"/>
          <w14:textFill>
            <w14:solidFill>
              <w14:schemeClr w14:val="tx1"/>
            </w14:solidFill>
          </w14:textFill>
        </w:rPr>
        <w:t>安全众测及攻防服务采购项目</w:t>
      </w:r>
      <w:r>
        <w:rPr>
          <w:rFonts w:hint="eastAsia" w:ascii="宋体" w:hAnsi="宋体" w:eastAsia="仿宋_GB2312" w:cs="Arial"/>
          <w:color w:val="000000" w:themeColor="text1"/>
          <w:sz w:val="28"/>
          <w:szCs w:val="28"/>
          <w:u w:val="single"/>
          <w14:textFill>
            <w14:solidFill>
              <w14:schemeClr w14:val="tx1"/>
            </w14:solidFill>
          </w14:textFill>
        </w:rPr>
        <w:t xml:space="preserve"> </w:t>
      </w:r>
    </w:p>
    <w:p>
      <w:pPr>
        <w:spacing w:line="520" w:lineRule="exact"/>
        <w:ind w:firstLine="560" w:firstLineChars="200"/>
        <w:jc w:val="lef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4、项目实施地点：昆山</w:t>
      </w:r>
    </w:p>
    <w:p>
      <w:pPr>
        <w:spacing w:line="52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w:t>
      </w:r>
      <w:r>
        <w:rPr>
          <w:rFonts w:hint="eastAsia" w:ascii="仿宋_GB2312" w:hAnsi="宋体" w:eastAsia="仿宋_GB2312"/>
          <w:color w:val="000000" w:themeColor="text1"/>
          <w:sz w:val="28"/>
          <w14:textFill>
            <w14:solidFill>
              <w14:schemeClr w14:val="tx1"/>
            </w14:solidFill>
          </w14:textFill>
        </w:rPr>
        <w:t>、发放标书时间：北京时间2025年09月25日</w:t>
      </w:r>
    </w:p>
    <w:p>
      <w:pPr>
        <w:spacing w:line="52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6、投标截止时间：北京时间2025年10月24日17：00前将密封的投标文件寄（送）至昆山农村商业银行集中采购中心（以我行收到日戳为准），逾期送达的投标文件将不予接受。</w:t>
      </w:r>
    </w:p>
    <w:p>
      <w:pPr>
        <w:spacing w:line="52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7、开标时间、地点：另行通知</w:t>
      </w:r>
    </w:p>
    <w:p>
      <w:pPr>
        <w:spacing w:line="52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8、招标人联系方式：江苏昆山农村商业银行股份有限公司</w:t>
      </w:r>
    </w:p>
    <w:p>
      <w:pPr>
        <w:spacing w:line="52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地址：江苏省昆山市前进东路828号1510室集中采购中心</w:t>
      </w:r>
    </w:p>
    <w:p>
      <w:pPr>
        <w:spacing w:line="52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邮编：215301</w:t>
      </w:r>
    </w:p>
    <w:p>
      <w:pPr>
        <w:spacing w:line="52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 xml:space="preserve">集中采购中心联系人：沈康    </w:t>
      </w:r>
    </w:p>
    <w:p>
      <w:pPr>
        <w:spacing w:line="52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联系电话：0512-57379288</w:t>
      </w:r>
    </w:p>
    <w:p>
      <w:pPr>
        <w:spacing w:line="52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项目/技术联系人：陈程</w:t>
      </w:r>
    </w:p>
    <w:p>
      <w:pPr>
        <w:spacing w:line="50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联系电话：180-6868-7622</w:t>
      </w:r>
    </w:p>
    <w:p>
      <w:pPr>
        <w:spacing w:line="360" w:lineRule="auto"/>
        <w:ind w:firstLine="560" w:firstLineChars="200"/>
        <w:rPr>
          <w:rFonts w:ascii="仿宋_GB2312" w:hAnsi="宋体" w:eastAsia="仿宋_GB2312"/>
          <w:color w:val="000000" w:themeColor="text1"/>
          <w:sz w:val="28"/>
          <w14:textFill>
            <w14:solidFill>
              <w14:schemeClr w14:val="tx1"/>
            </w14:solidFill>
          </w14:textFill>
        </w:rPr>
      </w:pPr>
    </w:p>
    <w:p>
      <w:pPr>
        <w:spacing w:line="360" w:lineRule="auto"/>
        <w:ind w:firstLine="560" w:firstLineChars="200"/>
        <w:rPr>
          <w:rFonts w:ascii="仿宋_GB2312" w:hAnsi="宋体" w:eastAsia="仿宋_GB2312"/>
          <w:color w:val="000000" w:themeColor="text1"/>
          <w:sz w:val="28"/>
          <w14:textFill>
            <w14:solidFill>
              <w14:schemeClr w14:val="tx1"/>
            </w14:solidFill>
          </w14:textFill>
        </w:rPr>
      </w:pPr>
    </w:p>
    <w:p>
      <w:pPr>
        <w:spacing w:line="360" w:lineRule="auto"/>
        <w:ind w:firstLine="560" w:firstLineChars="200"/>
        <w:rPr>
          <w:rFonts w:ascii="仿宋_GB2312" w:hAnsi="宋体" w:eastAsia="仿宋_GB2312"/>
          <w:color w:val="000000" w:themeColor="text1"/>
          <w:sz w:val="28"/>
          <w14:textFill>
            <w14:solidFill>
              <w14:schemeClr w14:val="tx1"/>
            </w14:solidFill>
          </w14:textFill>
        </w:rPr>
      </w:pPr>
    </w:p>
    <w:p>
      <w:pPr>
        <w:pStyle w:val="2"/>
        <w:rPr>
          <w:b/>
          <w:color w:val="000000" w:themeColor="text1"/>
          <w:sz w:val="20"/>
          <w14:textFill>
            <w14:solidFill>
              <w14:schemeClr w14:val="tx1"/>
            </w14:solidFill>
          </w14:textFill>
        </w:rPr>
      </w:pPr>
      <w:r>
        <w:rPr>
          <w:rFonts w:hint="eastAsia"/>
          <w:b/>
          <w:color w:val="000000" w:themeColor="text1"/>
          <w:sz w:val="20"/>
          <w14:textFill>
            <w14:solidFill>
              <w14:schemeClr w14:val="tx1"/>
            </w14:solidFill>
          </w14:textFill>
        </w:rPr>
        <w:t>*标书包装封面请备注项目联系人及联系电话。</w:t>
      </w:r>
    </w:p>
    <w:p>
      <w:pPr>
        <w:pStyle w:val="3"/>
        <w:keepNext w:val="0"/>
        <w:keepLines w:val="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第二部分</w:t>
      </w:r>
      <w:r>
        <w:rPr>
          <w:rFonts w:hint="eastAsia" w:ascii="黑体" w:hAnsi="黑体" w:eastAsia="黑体"/>
          <w:color w:val="000000" w:themeColor="text1"/>
          <w:sz w:val="32"/>
          <w:szCs w:val="32"/>
          <w14:textFill>
            <w14:solidFill>
              <w14:schemeClr w14:val="tx1"/>
            </w14:solidFill>
          </w14:textFill>
        </w:rPr>
        <w:tab/>
      </w:r>
      <w:r>
        <w:rPr>
          <w:rFonts w:hint="eastAsia" w:ascii="黑体" w:hAnsi="黑体" w:eastAsia="黑体"/>
          <w:color w:val="000000" w:themeColor="text1"/>
          <w:sz w:val="32"/>
          <w:szCs w:val="32"/>
          <w14:textFill>
            <w14:solidFill>
              <w14:schemeClr w14:val="tx1"/>
            </w14:solidFill>
          </w14:textFill>
        </w:rPr>
        <w:t>招标内容及要求</w:t>
      </w:r>
    </w:p>
    <w:p>
      <w:pPr>
        <w:snapToGrid w:val="0"/>
        <w:spacing w:line="360" w:lineRule="auto"/>
        <w:outlineLvl w:val="1"/>
        <w:rPr>
          <w:rFonts w:ascii="黑体" w:hAnsi="宋体" w:eastAsia="黑体"/>
          <w:b/>
          <w:snapToGrid w:val="0"/>
          <w:color w:val="000000" w:themeColor="text1"/>
          <w:kern w:val="0"/>
          <w:sz w:val="28"/>
          <w:szCs w:val="28"/>
          <w14:textFill>
            <w14:solidFill>
              <w14:schemeClr w14:val="tx1"/>
            </w14:solidFill>
          </w14:textFill>
        </w:rPr>
      </w:pPr>
      <w:r>
        <w:rPr>
          <w:rFonts w:hint="eastAsia" w:ascii="黑体" w:hAnsi="宋体" w:eastAsia="黑体"/>
          <w:b/>
          <w:snapToGrid w:val="0"/>
          <w:color w:val="000000" w:themeColor="text1"/>
          <w:kern w:val="0"/>
          <w:sz w:val="28"/>
          <w:szCs w:val="28"/>
          <w14:textFill>
            <w14:solidFill>
              <w14:schemeClr w14:val="tx1"/>
            </w14:solidFill>
          </w14:textFill>
        </w:rPr>
        <w:t>一、基本要求</w:t>
      </w:r>
    </w:p>
    <w:p>
      <w:pPr>
        <w:tabs>
          <w:tab w:val="left" w:pos="8280"/>
        </w:tabs>
        <w:snapToGrid w:val="0"/>
        <w:spacing w:line="360" w:lineRule="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snapToGrid w:val="0"/>
          <w:color w:val="000000" w:themeColor="text1"/>
          <w:sz w:val="28"/>
          <w:szCs w:val="28"/>
          <w14:textFill>
            <w14:solidFill>
              <w14:schemeClr w14:val="tx1"/>
            </w14:solidFill>
          </w14:textFill>
        </w:rPr>
        <w:t xml:space="preserve">    1、本标书第二部分“招标内容及要求”都将作为以后项目合同的基本要</w:t>
      </w:r>
      <w:r>
        <w:rPr>
          <w:rFonts w:hint="eastAsia" w:ascii="仿宋_GB2312" w:hAnsi="宋体" w:eastAsia="仿宋_GB2312"/>
          <w:color w:val="000000" w:themeColor="text1"/>
          <w:sz w:val="28"/>
          <w:szCs w:val="28"/>
          <w14:textFill>
            <w14:solidFill>
              <w14:schemeClr w14:val="tx1"/>
            </w14:solidFill>
          </w14:textFill>
        </w:rPr>
        <w:t>求。</w:t>
      </w:r>
    </w:p>
    <w:p>
      <w:pPr>
        <w:tabs>
          <w:tab w:val="left" w:pos="8280"/>
        </w:tabs>
        <w:snapToGrid w:val="0"/>
        <w:spacing w:line="360" w:lineRule="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snapToGrid w:val="0"/>
          <w:color w:val="000000" w:themeColor="text1"/>
          <w:sz w:val="28"/>
          <w:szCs w:val="28"/>
          <w14:textFill>
            <w14:solidFill>
              <w14:schemeClr w14:val="tx1"/>
            </w14:solidFill>
          </w14:textFill>
        </w:rPr>
        <w:t xml:space="preserve">    2、</w:t>
      </w:r>
      <w:r>
        <w:rPr>
          <w:rFonts w:hint="eastAsia" w:ascii="仿宋_GB2312" w:hAnsi="宋体" w:eastAsia="仿宋_GB2312"/>
          <w:color w:val="000000" w:themeColor="text1"/>
          <w:sz w:val="28"/>
          <w:szCs w:val="28"/>
          <w14:textFill>
            <w14:solidFill>
              <w14:schemeClr w14:val="tx1"/>
            </w14:solidFill>
          </w14:textFill>
        </w:rPr>
        <w:t>如投标服务不能完全达到招标方所要求的，投标文件对此必须明确标示，否则视为废标。</w:t>
      </w:r>
    </w:p>
    <w:p>
      <w:pPr>
        <w:tabs>
          <w:tab w:val="left" w:pos="8280"/>
        </w:tabs>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3</w:t>
      </w:r>
      <w:r>
        <w:rPr>
          <w:rFonts w:hint="eastAsia" w:ascii="仿宋_GB2312" w:hAnsi="宋体" w:eastAsia="仿宋_GB2312"/>
          <w:color w:val="000000" w:themeColor="text1"/>
          <w:sz w:val="28"/>
          <w:szCs w:val="28"/>
          <w14:textFill>
            <w14:solidFill>
              <w14:schemeClr w14:val="tx1"/>
            </w14:solidFill>
          </w14:textFill>
        </w:rPr>
        <w:t>、投标方应保证向招标方提供的服务或</w:t>
      </w:r>
      <w:r>
        <w:rPr>
          <w:rFonts w:ascii="仿宋_GB2312" w:hAnsi="宋体" w:eastAsia="仿宋_GB2312"/>
          <w:color w:val="000000" w:themeColor="text1"/>
          <w:sz w:val="28"/>
          <w:szCs w:val="28"/>
          <w14:textFill>
            <w14:solidFill>
              <w14:schemeClr w14:val="tx1"/>
            </w14:solidFill>
          </w14:textFill>
        </w:rPr>
        <w:t>产品</w:t>
      </w:r>
      <w:r>
        <w:rPr>
          <w:rFonts w:hint="eastAsia" w:ascii="仿宋_GB2312" w:hAnsi="宋体" w:eastAsia="仿宋_GB2312"/>
          <w:color w:val="000000" w:themeColor="text1"/>
          <w:sz w:val="28"/>
          <w:szCs w:val="28"/>
          <w14:textFill>
            <w14:solidFill>
              <w14:schemeClr w14:val="tx1"/>
            </w14:solidFill>
          </w14:textFill>
        </w:rPr>
        <w:t>与任何第三方发生的专利权、版权和使用权纠纷完全由投标方自行负责而与招标方无关；投标方应承诺对因以上纠纷给招标方造成的损失承担赔偿责任。</w:t>
      </w:r>
    </w:p>
    <w:p>
      <w:pPr>
        <w:snapToGrid w:val="0"/>
        <w:spacing w:line="360" w:lineRule="auto"/>
        <w:outlineLvl w:val="1"/>
        <w:rPr>
          <w:rFonts w:ascii="黑体" w:hAnsi="宋体" w:eastAsia="黑体"/>
          <w:b/>
          <w:snapToGrid w:val="0"/>
          <w:color w:val="000000" w:themeColor="text1"/>
          <w:kern w:val="0"/>
          <w:sz w:val="28"/>
          <w:szCs w:val="28"/>
          <w14:textFill>
            <w14:solidFill>
              <w14:schemeClr w14:val="tx1"/>
            </w14:solidFill>
          </w14:textFill>
        </w:rPr>
      </w:pPr>
      <w:r>
        <w:rPr>
          <w:rFonts w:hint="eastAsia" w:ascii="黑体" w:hAnsi="宋体" w:eastAsia="黑体"/>
          <w:b/>
          <w:snapToGrid w:val="0"/>
          <w:color w:val="000000" w:themeColor="text1"/>
          <w:kern w:val="0"/>
          <w:sz w:val="28"/>
          <w:szCs w:val="28"/>
          <w14:textFill>
            <w14:solidFill>
              <w14:schemeClr w14:val="tx1"/>
            </w14:solidFill>
          </w14:textFill>
        </w:rPr>
        <w:t>二、投标人范围</w:t>
      </w:r>
    </w:p>
    <w:p>
      <w:pPr>
        <w:pStyle w:val="5"/>
        <w:snapToGrid w:val="0"/>
        <w:spacing w:line="360" w:lineRule="auto"/>
        <w:ind w:firstLine="560" w:firstLineChars="200"/>
        <w:jc w:val="left"/>
        <w:rPr>
          <w:rFonts w:ascii="仿宋_GB2312" w:hAnsi="宋体" w:eastAsia="仿宋_GB2312"/>
          <w:snapToGrid w:val="0"/>
          <w:color w:val="000000" w:themeColor="text1"/>
          <w:kern w:val="0"/>
          <w:sz w:val="28"/>
          <w:szCs w:val="28"/>
          <w14:textFill>
            <w14:solidFill>
              <w14:schemeClr w14:val="tx1"/>
            </w14:solidFill>
          </w14:textFill>
        </w:rPr>
      </w:pPr>
      <w:r>
        <w:rPr>
          <w:rFonts w:hint="eastAsia" w:ascii="仿宋_GB2312" w:hAnsi="宋体" w:eastAsia="仿宋_GB2312"/>
          <w:snapToGrid w:val="0"/>
          <w:color w:val="000000" w:themeColor="text1"/>
          <w:kern w:val="0"/>
          <w:sz w:val="28"/>
          <w:szCs w:val="28"/>
          <w14:textFill>
            <w14:solidFill>
              <w14:schemeClr w14:val="tx1"/>
            </w14:solidFill>
          </w14:textFill>
        </w:rPr>
        <w:t>投标人应符合本标书第三部分招标说明中的相关要求和条件。</w:t>
      </w:r>
    </w:p>
    <w:p>
      <w:pPr>
        <w:snapToGrid w:val="0"/>
        <w:spacing w:line="360" w:lineRule="auto"/>
        <w:outlineLvl w:val="1"/>
        <w:rPr>
          <w:rFonts w:ascii="黑体" w:hAnsi="宋体" w:eastAsia="黑体"/>
          <w:b/>
          <w:snapToGrid w:val="0"/>
          <w:color w:val="000000" w:themeColor="text1"/>
          <w:kern w:val="0"/>
          <w:sz w:val="28"/>
          <w:szCs w:val="28"/>
          <w14:textFill>
            <w14:solidFill>
              <w14:schemeClr w14:val="tx1"/>
            </w14:solidFill>
          </w14:textFill>
        </w:rPr>
      </w:pPr>
      <w:r>
        <w:rPr>
          <w:rFonts w:hint="eastAsia" w:ascii="黑体" w:hAnsi="宋体" w:eastAsia="黑体"/>
          <w:b/>
          <w:snapToGrid w:val="0"/>
          <w:color w:val="000000" w:themeColor="text1"/>
          <w:kern w:val="0"/>
          <w:sz w:val="28"/>
          <w:szCs w:val="28"/>
          <w14:textFill>
            <w14:solidFill>
              <w14:schemeClr w14:val="tx1"/>
            </w14:solidFill>
          </w14:textFill>
        </w:rPr>
        <w:t>三、招标需求</w:t>
      </w:r>
    </w:p>
    <w:p>
      <w:pPr>
        <w:snapToGrid w:val="0"/>
        <w:spacing w:line="360" w:lineRule="auto"/>
        <w:ind w:firstLine="560" w:firstLineChars="200"/>
        <w:rPr>
          <w:rFonts w:ascii="仿宋_GB2312" w:hAnsi="宋体" w:eastAsia="仿宋_GB2312"/>
          <w:snapToGrid w:val="0"/>
          <w:color w:val="000000" w:themeColor="text1"/>
          <w:kern w:val="0"/>
          <w:sz w:val="28"/>
          <w:szCs w:val="28"/>
          <w14:textFill>
            <w14:solidFill>
              <w14:schemeClr w14:val="tx1"/>
            </w14:solidFill>
          </w14:textFill>
        </w:rPr>
      </w:pPr>
      <w:r>
        <w:rPr>
          <w:rFonts w:hint="eastAsia" w:ascii="仿宋_GB2312" w:hAnsi="宋体" w:eastAsia="仿宋_GB2312"/>
          <w:snapToGrid w:val="0"/>
          <w:color w:val="000000" w:themeColor="text1"/>
          <w:kern w:val="0"/>
          <w:sz w:val="28"/>
          <w:szCs w:val="28"/>
          <w14:textFill>
            <w14:solidFill>
              <w14:schemeClr w14:val="tx1"/>
            </w14:solidFill>
          </w14:textFill>
        </w:rPr>
        <w:t>本次招标分为2个标段，分别进行招标采购，具体如下：</w:t>
      </w:r>
    </w:p>
    <w:p>
      <w:pPr>
        <w:snapToGrid w:val="0"/>
        <w:spacing w:line="360" w:lineRule="auto"/>
        <w:ind w:firstLine="562"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b/>
          <w:bCs/>
          <w:color w:val="000000" w:themeColor="text1"/>
          <w:sz w:val="28"/>
          <w14:textFill>
            <w14:solidFill>
              <w14:schemeClr w14:val="tx1"/>
            </w14:solidFill>
          </w14:textFill>
        </w:rPr>
        <w:t>标段一：</w:t>
      </w:r>
      <w:r>
        <w:rPr>
          <w:rFonts w:hint="eastAsia" w:ascii="仿宋_GB2312" w:eastAsia="仿宋_GB2312"/>
          <w:b/>
          <w:bCs/>
          <w:color w:val="000000" w:themeColor="text1"/>
          <w:sz w:val="28"/>
          <w:szCs w:val="28"/>
          <w14:textFill>
            <w14:solidFill>
              <w14:schemeClr w14:val="tx1"/>
            </w14:solidFill>
          </w14:textFill>
        </w:rPr>
        <w:t>安全众测服务</w:t>
      </w:r>
    </w:p>
    <w:p>
      <w:pPr>
        <w:snapToGrid w:val="0"/>
        <w:spacing w:line="360" w:lineRule="auto"/>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_GB2312" w:hAnsi="宋体" w:eastAsia="仿宋_GB2312"/>
          <w:snapToGrid w:val="0"/>
          <w:color w:val="000000" w:themeColor="text1"/>
          <w:kern w:val="0"/>
          <w:sz w:val="28"/>
          <w:szCs w:val="28"/>
          <w14:textFill>
            <w14:solidFill>
              <w14:schemeClr w14:val="tx1"/>
            </w14:solidFill>
          </w14:textFill>
        </w:rPr>
        <w:t>采购需求如下：</w:t>
      </w:r>
    </w:p>
    <w:p>
      <w:pPr>
        <w:snapToGrid w:val="0"/>
        <w:spacing w:line="360" w:lineRule="auto"/>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项目实施范围：对我行互联网地址段所含的应用系统、移动APP及组件进行全面细致的安全性测试，发现互联网应用系统存在的安全问题，核实漏洞真实性、提出修复建议，并对修复后的漏洞进行验证，确保已经修复并提供复测报告；</w:t>
      </w:r>
    </w:p>
    <w:p>
      <w:pPr>
        <w:snapToGrid w:val="0"/>
        <w:spacing w:line="360" w:lineRule="auto"/>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2.入围数量：3家供应商；</w:t>
      </w:r>
    </w:p>
    <w:p>
      <w:pPr>
        <w:snapToGrid w:val="0"/>
        <w:spacing w:line="360" w:lineRule="auto"/>
        <w:ind w:firstLine="560" w:firstLineChars="200"/>
        <w:rPr>
          <w:color w:val="000000" w:themeColor="text1"/>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3.项目签订框架合同，合同基础金额为零，根据实际挖掘有效的漏洞数量结算金额。</w:t>
      </w:r>
    </w:p>
    <w:p>
      <w:pPr>
        <w:snapToGrid w:val="0"/>
        <w:spacing w:line="360" w:lineRule="auto"/>
        <w:ind w:firstLine="560" w:firstLineChars="200"/>
        <w:rPr>
          <w:rFonts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4.实施时间：</w:t>
      </w:r>
      <w:r>
        <w:rPr>
          <w:rFonts w:hint="eastAsia" w:ascii="仿宋_GB2312" w:hAnsi="仿宋_GB2312" w:eastAsia="仿宋_GB2312" w:cs="仿宋_GB2312"/>
          <w:snapToGrid w:val="0"/>
          <w:color w:val="000000" w:themeColor="text1"/>
          <w:sz w:val="28"/>
          <w:szCs w:val="28"/>
          <w14:textFill>
            <w14:solidFill>
              <w14:schemeClr w14:val="tx1"/>
            </w14:solidFill>
          </w14:textFill>
        </w:rPr>
        <w:t>启动和结束时间以我行正式通知为准，对于由于特殊原因需要避开的测试时段或测试系统，我行将提前通知测试方。</w:t>
      </w:r>
    </w:p>
    <w:p>
      <w:pPr>
        <w:snapToGrid w:val="0"/>
        <w:spacing w:line="360" w:lineRule="auto"/>
        <w:ind w:firstLine="560" w:firstLineChars="200"/>
        <w:rPr>
          <w:color w:val="000000" w:themeColor="text1"/>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5.实施方式：</w:t>
      </w:r>
    </w:p>
    <w:p>
      <w:pPr>
        <w:snapToGrid w:val="0"/>
        <w:spacing w:line="360" w:lineRule="auto"/>
        <w:ind w:firstLine="560" w:firstLineChars="200"/>
        <w:rPr>
          <w:rFonts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1）每家厂商须至少派一名项目负责人在现场进行工作，负责漏洞整理提交，每日情况跟踪交流，协助进行相关漏洞的讲解和复现，以及提供修复建议，其他项目实施人员可远程实施，人员简历需提供我方审核。</w:t>
      </w:r>
    </w:p>
    <w:p>
      <w:pPr>
        <w:pStyle w:val="2"/>
        <w:snapToGrid w:val="0"/>
        <w:spacing w:after="0" w:line="360" w:lineRule="auto"/>
        <w:ind w:firstLine="560" w:firstLineChars="200"/>
        <w:rPr>
          <w:rFonts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（2）分多轮进行实施，每轮厂商以抽签方式分配资产进行漏洞挖掘，仅可对分配的资产进行众测，详细规则项目实施时公布。</w:t>
      </w:r>
    </w:p>
    <w:p>
      <w:pPr>
        <w:pStyle w:val="2"/>
        <w:snapToGrid w:val="0"/>
        <w:spacing w:after="0" w:line="360" w:lineRule="auto"/>
        <w:ind w:firstLine="560" w:firstLineChars="200"/>
        <w:rPr>
          <w:color w:val="000000" w:themeColor="text1"/>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6.实施要求</w:t>
      </w:r>
    </w:p>
    <w:p>
      <w:pPr>
        <w:pStyle w:val="30"/>
        <w:snapToGrid w:val="0"/>
        <w:spacing w:line="360" w:lineRule="auto"/>
        <w:ind w:firstLine="560" w:firstLineChars="200"/>
        <w:jc w:val="left"/>
        <w:rPr>
          <w:rFonts w:ascii="仿宋_GB2312" w:hAnsi="仿宋_GB2312" w:eastAsia="仿宋_GB2312" w:cs="仿宋_GB2312"/>
          <w:snapToGrid w:val="0"/>
          <w:color w:val="000000" w:themeColor="text1"/>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8"/>
          <w:szCs w:val="28"/>
          <w:lang w:val="en-US" w:eastAsia="zh-CN" w:bidi="ar-SA"/>
          <w14:textFill>
            <w14:solidFill>
              <w14:schemeClr w14:val="tx1"/>
            </w14:solidFill>
          </w14:textFill>
        </w:rPr>
        <w:t>（1）授权机制：测试工作开展前，被邀请人的厂商和人员必须和我行签订保密协议，获得授权书，明确安全保密要求和授权操作，测试厂商必须提供人员名单，测试人员须严格遵守我行确定的管控措施（包括但不限于限定测试人员，限定测试IP等），未经我行允许不得开始测试工作。</w:t>
      </w:r>
    </w:p>
    <w:p>
      <w:pPr>
        <w:pStyle w:val="30"/>
        <w:snapToGrid w:val="0"/>
        <w:spacing w:line="360" w:lineRule="auto"/>
        <w:ind w:firstLine="560" w:firstLineChars="200"/>
        <w:jc w:val="left"/>
        <w:rPr>
          <w:rFonts w:ascii="仿宋_GB2312" w:hAnsi="仿宋_GB2312" w:eastAsia="仿宋_GB2312" w:cs="仿宋_GB2312"/>
          <w:snapToGrid w:val="0"/>
          <w:color w:val="000000" w:themeColor="text1"/>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8"/>
          <w:szCs w:val="28"/>
          <w:lang w:val="en-US" w:eastAsia="zh-CN" w:bidi="ar-SA"/>
          <w14:textFill>
            <w14:solidFill>
              <w14:schemeClr w14:val="tx1"/>
            </w14:solidFill>
          </w14:textFill>
        </w:rPr>
        <w:t>（2）暂停机制：测试过程中，我行有权根据测试情况、费用总体情况和测试范围变更等，宣布提前终止本次测试工作，并以各测试方截止到终止时累计报告漏洞情况，进行费用结算。</w:t>
      </w:r>
    </w:p>
    <w:p>
      <w:pPr>
        <w:pStyle w:val="30"/>
        <w:snapToGrid w:val="0"/>
        <w:spacing w:line="360" w:lineRule="auto"/>
        <w:ind w:firstLine="560" w:firstLineChars="200"/>
        <w:jc w:val="left"/>
        <w:rPr>
          <w:rFonts w:ascii="仿宋_GB2312" w:hAnsi="仿宋_GB2312" w:eastAsia="仿宋_GB2312" w:cs="仿宋_GB2312"/>
          <w:snapToGrid w:val="0"/>
          <w:color w:val="000000" w:themeColor="text1"/>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8"/>
          <w:szCs w:val="28"/>
          <w:lang w:val="en-US" w:eastAsia="zh-CN" w:bidi="ar-SA"/>
          <w14:textFill>
            <w14:solidFill>
              <w14:schemeClr w14:val="tx1"/>
            </w14:solidFill>
          </w14:textFill>
        </w:rPr>
        <w:t>（3）违规机制：在实施周期内，在保证业务运行稳定连续的情况下对我行提供的互联资产进行漏洞挖掘。测试方不得在测试过程中进行除漏洞发现和验证以外的任何有害行为，包括但不限于损害利益，影响业务运营、盗取或者泄露信息和数据等行为，不得将测试记过泄露给任何第三方或用于后期攻击行为。若违反上述原则，我行有权终止服务合同，并保留采取进一步法律追究的权利。</w:t>
      </w:r>
    </w:p>
    <w:p>
      <w:pPr>
        <w:pStyle w:val="30"/>
        <w:snapToGrid w:val="0"/>
        <w:spacing w:line="360" w:lineRule="auto"/>
        <w:ind w:firstLine="560" w:firstLineChars="200"/>
        <w:jc w:val="left"/>
        <w:rPr>
          <w:rFonts w:ascii="仿宋_GB2312" w:hAnsi="仿宋_GB2312" w:eastAsia="仿宋_GB2312" w:cs="仿宋_GB2312"/>
          <w:snapToGrid w:val="0"/>
          <w:color w:val="000000" w:themeColor="text1"/>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8"/>
          <w:szCs w:val="28"/>
          <w:lang w:val="en-US" w:eastAsia="zh-CN" w:bidi="ar-SA"/>
          <w14:textFill>
            <w14:solidFill>
              <w14:schemeClr w14:val="tx1"/>
            </w14:solidFill>
          </w14:textFill>
        </w:rPr>
        <w:t>（4）去重机制：同一漏洞仅收录一次。同一漏洞定义：同一个漏洞源产生的多个漏洞算同一个漏洞。例如：全局函数、全局配置导致的问题，同一配置影响的多个文件，同一漏洞的不同利用方式，同一函数导致的漏洞，同一功能模块下的不同接口，同一文件的不同参数，同一参数出现在不同文件、同一文件在不同目录、不同版本的同一漏洞，泛域名解析产生的多个安全漏洞。</w:t>
      </w:r>
    </w:p>
    <w:p>
      <w:pPr>
        <w:pStyle w:val="30"/>
        <w:snapToGrid w:val="0"/>
        <w:spacing w:line="360" w:lineRule="auto"/>
        <w:ind w:firstLine="560" w:firstLineChars="200"/>
        <w:jc w:val="left"/>
        <w:rPr>
          <w:rFonts w:ascii="仿宋_GB2312" w:hAnsi="仿宋_GB2312" w:eastAsia="仿宋_GB2312" w:cs="仿宋_GB2312"/>
          <w:snapToGrid w:val="0"/>
          <w:color w:val="000000" w:themeColor="text1"/>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8"/>
          <w:szCs w:val="28"/>
          <w:lang w:val="en-US" w:eastAsia="zh-CN" w:bidi="ar-SA"/>
          <w14:textFill>
            <w14:solidFill>
              <w14:schemeClr w14:val="tx1"/>
            </w14:solidFill>
          </w14:textFill>
        </w:rPr>
        <w:t>7.测试规范</w:t>
      </w:r>
    </w:p>
    <w:p>
      <w:pPr>
        <w:pStyle w:val="30"/>
        <w:snapToGrid w:val="0"/>
        <w:spacing w:line="360" w:lineRule="auto"/>
        <w:ind w:firstLine="560" w:firstLineChars="200"/>
        <w:jc w:val="left"/>
        <w:rPr>
          <w:rFonts w:ascii="仿宋_GB2312" w:hAnsi="仿宋_GB2312" w:eastAsia="仿宋_GB2312" w:cs="仿宋_GB2312"/>
          <w:snapToGrid w:val="0"/>
          <w:color w:val="000000" w:themeColor="text1"/>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8"/>
          <w:szCs w:val="28"/>
          <w:lang w:val="en-US" w:eastAsia="zh-CN" w:bidi="ar-SA"/>
          <w14:textFill>
            <w14:solidFill>
              <w14:schemeClr w14:val="tx1"/>
            </w14:solidFill>
          </w14:textFill>
        </w:rPr>
        <w:t>（1）除特别获准，严禁社工、严禁近源、严禁钓鱼、严禁供应链攻击、严禁内网渗透。</w:t>
      </w:r>
    </w:p>
    <w:p>
      <w:pPr>
        <w:pStyle w:val="30"/>
        <w:snapToGrid w:val="0"/>
        <w:spacing w:line="360" w:lineRule="auto"/>
        <w:ind w:firstLine="560" w:firstLineChars="200"/>
        <w:jc w:val="left"/>
        <w:rPr>
          <w:rFonts w:ascii="仿宋_GB2312" w:hAnsi="仿宋_GB2312" w:eastAsia="仿宋_GB2312" w:cs="仿宋_GB2312"/>
          <w:snapToGrid w:val="0"/>
          <w:color w:val="000000" w:themeColor="text1"/>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8"/>
          <w:szCs w:val="28"/>
          <w:lang w:val="en-US" w:eastAsia="zh-CN" w:bidi="ar-SA"/>
          <w14:textFill>
            <w14:solidFill>
              <w14:schemeClr w14:val="tx1"/>
            </w14:solidFill>
          </w14:textFill>
        </w:rPr>
        <w:t>（2）禁止可能引起业务异常运行的测试，如DDOS攻击、暴力破解。</w:t>
      </w:r>
    </w:p>
    <w:p>
      <w:pPr>
        <w:pStyle w:val="30"/>
        <w:snapToGrid w:val="0"/>
        <w:spacing w:line="360" w:lineRule="auto"/>
        <w:ind w:firstLine="560" w:firstLineChars="200"/>
        <w:jc w:val="left"/>
        <w:rPr>
          <w:rFonts w:ascii="仿宋_GB2312" w:hAnsi="仿宋_GB2312" w:eastAsia="仿宋_GB2312" w:cs="仿宋_GB2312"/>
          <w:snapToGrid w:val="0"/>
          <w:color w:val="000000" w:themeColor="text1"/>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8"/>
          <w:szCs w:val="28"/>
          <w:lang w:val="en-US" w:eastAsia="zh-CN" w:bidi="ar-SA"/>
          <w14:textFill>
            <w14:solidFill>
              <w14:schemeClr w14:val="tx1"/>
            </w14:solidFill>
          </w14:textFill>
        </w:rPr>
        <w:t>（3）进行上传后门、扫描、检测或者恶意软件，须征得我行同意方可进行，且必须列出清单，协助我行清理干净。</w:t>
      </w:r>
    </w:p>
    <w:p>
      <w:pPr>
        <w:pStyle w:val="30"/>
        <w:snapToGrid w:val="0"/>
        <w:spacing w:line="360" w:lineRule="auto"/>
        <w:ind w:firstLine="560" w:firstLineChars="200"/>
        <w:jc w:val="left"/>
        <w:rPr>
          <w:rFonts w:ascii="仿宋_GB2312" w:hAnsi="仿宋_GB2312" w:eastAsia="仿宋_GB2312" w:cs="仿宋_GB2312"/>
          <w:snapToGrid w:val="0"/>
          <w:color w:val="000000" w:themeColor="text1"/>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8"/>
          <w:szCs w:val="28"/>
          <w:lang w:val="en-US" w:eastAsia="zh-CN" w:bidi="ar-SA"/>
          <w14:textFill>
            <w14:solidFill>
              <w14:schemeClr w14:val="tx1"/>
            </w14:solidFill>
          </w14:textFill>
        </w:rPr>
        <w:t>（4）严禁对未授权资产、超出测试内容范围进行漏洞挖掘，遇到不清楚资产在与我行人员确认之后方可进行，否则相关法律风险将由漏洞挖掘者自己承担。</w:t>
      </w:r>
    </w:p>
    <w:p>
      <w:pPr>
        <w:pStyle w:val="30"/>
        <w:snapToGrid w:val="0"/>
        <w:spacing w:line="360" w:lineRule="auto"/>
        <w:ind w:firstLine="560" w:firstLineChars="200"/>
        <w:jc w:val="left"/>
        <w:rPr>
          <w:rFonts w:ascii="仿宋_GB2312" w:hAnsi="仿宋_GB2312" w:eastAsia="仿宋_GB2312" w:cs="仿宋_GB2312"/>
          <w:snapToGrid w:val="0"/>
          <w:color w:val="000000" w:themeColor="text1"/>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8"/>
          <w:szCs w:val="28"/>
          <w:lang w:val="en-US" w:eastAsia="zh-CN" w:bidi="ar-SA"/>
          <w14:textFill>
            <w14:solidFill>
              <w14:schemeClr w14:val="tx1"/>
            </w14:solidFill>
          </w14:textFill>
        </w:rPr>
        <w:t>（5）禁止保存和传播与业务相关的敏感数据，包括但不限于业务服务器以及Github等平台泄露的源代码、运营数据、用户资料等，若存在不知情的下载行为，需及时说明和删除。</w:t>
      </w:r>
    </w:p>
    <w:p>
      <w:pPr>
        <w:pStyle w:val="30"/>
        <w:snapToGrid w:val="0"/>
        <w:spacing w:line="360" w:lineRule="auto"/>
        <w:ind w:firstLine="560" w:firstLineChars="200"/>
        <w:jc w:val="left"/>
        <w:rPr>
          <w:rFonts w:ascii="仿宋_GB2312" w:hAnsi="仿宋_GB2312" w:eastAsia="仿宋_GB2312" w:cs="仿宋_GB2312"/>
          <w:snapToGrid w:val="0"/>
          <w:color w:val="000000" w:themeColor="text1"/>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8"/>
          <w:szCs w:val="28"/>
          <w:lang w:val="en-US" w:eastAsia="zh-CN" w:bidi="ar-SA"/>
          <w14:textFill>
            <w14:solidFill>
              <w14:schemeClr w14:val="tx1"/>
            </w14:solidFill>
          </w14:textFill>
        </w:rPr>
        <w:t>（6）严禁增删改他人信息，严禁对系统稳定性造成影响的扫描，严禁将挖掘到的漏洞进行黑灰产交易等恶意行为，如出现上述行为，我行保留追究法律责任的权力。</w:t>
      </w:r>
    </w:p>
    <w:p>
      <w:pPr>
        <w:snapToGrid w:val="0"/>
        <w:spacing w:line="360" w:lineRule="auto"/>
        <w:ind w:firstLine="562"/>
        <w:rPr>
          <w:rFonts w:ascii="仿宋_GB2312" w:hAnsi="仿宋_GB2312" w:eastAsia="仿宋_GB2312" w:cs="仿宋_GB2312"/>
          <w:bCs/>
          <w:iCs/>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8.</w:t>
      </w:r>
      <w:r>
        <w:rPr>
          <w:rFonts w:hint="eastAsia" w:ascii="仿宋_GB2312" w:hAnsi="仿宋_GB2312" w:eastAsia="仿宋_GB2312" w:cs="仿宋_GB2312"/>
          <w:bCs/>
          <w:iCs/>
          <w:color w:val="000000" w:themeColor="text1"/>
          <w:sz w:val="28"/>
          <w:szCs w:val="28"/>
          <w14:textFill>
            <w14:solidFill>
              <w14:schemeClr w14:val="tx1"/>
            </w14:solidFill>
          </w14:textFill>
        </w:rPr>
        <w:t>漏洞等级</w:t>
      </w:r>
    </w:p>
    <w:p>
      <w:pPr>
        <w:snapToGrid w:val="0"/>
        <w:spacing w:line="360" w:lineRule="auto"/>
        <w:ind w:firstLine="562"/>
        <w:rPr>
          <w:rFonts w:ascii="仿宋_GB2312" w:hAnsi="仿宋_GB2312" w:eastAsia="仿宋_GB2312" w:cs="仿宋_GB2312"/>
          <w:b/>
          <w:bCs/>
          <w:i/>
          <w:iCs/>
          <w:color w:val="000000" w:themeColor="text1"/>
          <w:sz w:val="28"/>
          <w:szCs w:val="28"/>
          <w14:textFill>
            <w14:solidFill>
              <w14:schemeClr w14:val="tx1"/>
            </w14:solidFill>
          </w14:textFill>
        </w:rPr>
      </w:pPr>
      <w:r>
        <w:rPr>
          <w:rFonts w:hint="eastAsia" w:ascii="仿宋_GB2312" w:hAnsi="仿宋_GB2312" w:eastAsia="仿宋_GB2312" w:cs="仿宋_GB2312"/>
          <w:bCs/>
          <w:iCs/>
          <w:color w:val="000000" w:themeColor="text1"/>
          <w:sz w:val="28"/>
          <w:szCs w:val="28"/>
          <w14:textFill>
            <w14:solidFill>
              <w14:schemeClr w14:val="tx1"/>
            </w14:solidFill>
          </w14:textFill>
        </w:rPr>
        <w:t>漏洞危害等级的评定以《信息安全技术网络安全漏洞分类分级指南》(GB/T 30279-2020)为参考，漏洞等级的评定最终由我行根据如下标准评定：</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Pr>
          <w:p>
            <w:pP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级别</w:t>
            </w:r>
          </w:p>
        </w:tc>
        <w:tc>
          <w:tcPr>
            <w:tcW w:w="7708" w:type="dxa"/>
          </w:tcPr>
          <w:p>
            <w:pP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高危</w:t>
            </w:r>
          </w:p>
        </w:tc>
        <w:tc>
          <w:tcPr>
            <w:tcW w:w="7708" w:type="dxa"/>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1.能够造成客户资金损失的漏洞，或者用户能够盗取银行资产的漏洞。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pPr>
              <w:rPr>
                <w:rFonts w:ascii="仿宋_GB2312" w:hAnsi="仿宋_GB2312" w:eastAsia="仿宋_GB2312" w:cs="仿宋_GB2312"/>
                <w:color w:val="000000" w:themeColor="text1"/>
                <w:sz w:val="24"/>
                <w:szCs w:val="24"/>
                <w14:textFill>
                  <w14:solidFill>
                    <w14:schemeClr w14:val="tx1"/>
                  </w14:solidFill>
                </w14:textFill>
              </w:rPr>
            </w:pPr>
          </w:p>
        </w:tc>
        <w:tc>
          <w:tcPr>
            <w:tcW w:w="7708" w:type="dxa"/>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2.能够直接获取服务器权限的漏洞（包括不限于：命令注入、远程命令执行、上传webshell、任意代码执行、sql注入、缓冲区溢出）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pPr>
              <w:rPr>
                <w:rFonts w:ascii="仿宋_GB2312" w:hAnsi="仿宋_GB2312" w:eastAsia="仿宋_GB2312" w:cs="仿宋_GB2312"/>
                <w:color w:val="000000" w:themeColor="text1"/>
                <w:sz w:val="24"/>
                <w:szCs w:val="24"/>
                <w14:textFill>
                  <w14:solidFill>
                    <w14:schemeClr w14:val="tx1"/>
                  </w14:solidFill>
                </w14:textFill>
              </w:rPr>
            </w:pPr>
          </w:p>
        </w:tc>
        <w:tc>
          <w:tcPr>
            <w:tcW w:w="7708" w:type="dxa"/>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3.具有严重影响的逻辑漏洞或者流程设计缺陷，包括不限于认证绕过、任意用户信息增删改查、非授权访问后台、越权修改重要信息等。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pPr>
              <w:rPr>
                <w:rFonts w:ascii="仿宋_GB2312" w:hAnsi="仿宋_GB2312" w:eastAsia="仿宋_GB2312" w:cs="仿宋_GB2312"/>
                <w:color w:val="000000" w:themeColor="text1"/>
                <w:sz w:val="24"/>
                <w:szCs w:val="24"/>
                <w14:textFill>
                  <w14:solidFill>
                    <w14:schemeClr w14:val="tx1"/>
                  </w14:solidFill>
                </w14:textFill>
              </w:rPr>
            </w:pPr>
          </w:p>
        </w:tc>
        <w:tc>
          <w:tcPr>
            <w:tcW w:w="7708" w:type="dxa"/>
          </w:tcPr>
          <w:p>
            <w:pPr>
              <w:numPr>
                <w:ilvl w:val="0"/>
                <w:numId w:val="1"/>
              </w:num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直接导致大量核心信息泄漏的漏洞，数据范围包括：</w:t>
            </w:r>
          </w:p>
          <w:p>
            <w:pPr>
              <w:numPr>
                <w:ilvl w:val="0"/>
                <w:numId w:val="2"/>
              </w:num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大量客户的敏感信息（认证信息、支付密码、身份证、手机号码、资金信息等）</w:t>
            </w:r>
          </w:p>
          <w:p>
            <w:pPr>
              <w:numPr>
                <w:ilvl w:val="0"/>
                <w:numId w:val="2"/>
              </w:num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操作系统、数据库、中间件管理员账号密码，大量中间间件管理台、核心程序的源码、密钥等。</w:t>
            </w:r>
          </w:p>
          <w:p>
            <w:pPr>
              <w:numPr>
                <w:ilvl w:val="0"/>
                <w:numId w:val="2"/>
              </w:num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我行大量经营类管理类重要敏感信息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pPr>
              <w:rPr>
                <w:rFonts w:ascii="仿宋_GB2312" w:hAnsi="仿宋_GB2312" w:eastAsia="仿宋_GB2312" w:cs="仿宋_GB2312"/>
                <w:color w:val="000000" w:themeColor="text1"/>
                <w:sz w:val="24"/>
                <w:szCs w:val="24"/>
                <w14:textFill>
                  <w14:solidFill>
                    <w14:schemeClr w14:val="tx1"/>
                  </w14:solidFill>
                </w14:textFill>
              </w:rPr>
            </w:pPr>
          </w:p>
        </w:tc>
        <w:tc>
          <w:tcPr>
            <w:tcW w:w="7708" w:type="dxa"/>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5.互联网上搜索到超过1万条以上客户敏感信息的泄漏事件，或者关键系统的关键源码泄漏事件，或可造成重大影响的黑灰产利用套路。（需要提供渠道信息和证据）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中危</w:t>
            </w:r>
          </w:p>
        </w:tc>
        <w:tc>
          <w:tcPr>
            <w:tcW w:w="7708" w:type="dxa"/>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1.需交互方可影响用户的漏洞。包括但不限于页面存储型XSS，涉及核心业务的CSRF并能有效利用。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pPr>
              <w:rPr>
                <w:rFonts w:ascii="仿宋_GB2312" w:hAnsi="仿宋_GB2312" w:eastAsia="仿宋_GB2312" w:cs="仿宋_GB2312"/>
                <w:color w:val="000000" w:themeColor="text1"/>
                <w:sz w:val="24"/>
                <w:szCs w:val="24"/>
                <w14:textFill>
                  <w14:solidFill>
                    <w14:schemeClr w14:val="tx1"/>
                  </w14:solidFill>
                </w14:textFill>
              </w:rPr>
            </w:pPr>
          </w:p>
        </w:tc>
        <w:tc>
          <w:tcPr>
            <w:tcW w:w="7708" w:type="dxa"/>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2.可造成一般影响的逻辑漏洞，包括不限于一般的越权等。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pPr>
              <w:rPr>
                <w:rFonts w:ascii="仿宋_GB2312" w:hAnsi="仿宋_GB2312" w:eastAsia="仿宋_GB2312" w:cs="仿宋_GB2312"/>
                <w:color w:val="000000" w:themeColor="text1"/>
                <w:sz w:val="24"/>
                <w:szCs w:val="24"/>
                <w14:textFill>
                  <w14:solidFill>
                    <w14:schemeClr w14:val="tx1"/>
                  </w14:solidFill>
                </w14:textFill>
              </w:rPr>
            </w:pPr>
          </w:p>
        </w:tc>
        <w:tc>
          <w:tcPr>
            <w:tcW w:w="7708" w:type="dxa"/>
          </w:tcPr>
          <w:p>
            <w:pPr>
              <w:numPr>
                <w:ilvl w:val="0"/>
                <w:numId w:val="3"/>
              </w:num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直接导致一般信息泄漏的漏洞，数据范围包括：</w:t>
            </w:r>
          </w:p>
          <w:p>
            <w:pPr>
              <w:numPr>
                <w:ilvl w:val="0"/>
                <w:numId w:val="4"/>
              </w:num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泄露个别客户的敏感信息（认证信息、支付密码、身份证、资金信息等）</w:t>
            </w:r>
          </w:p>
          <w:p>
            <w:pPr>
              <w:numPr>
                <w:ilvl w:val="0"/>
                <w:numId w:val="4"/>
              </w:num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泄露部分客户敏感信息，如：姓名、手机号码、住址等。</w:t>
            </w:r>
          </w:p>
          <w:p>
            <w:pPr>
              <w:numPr>
                <w:ilvl w:val="0"/>
                <w:numId w:val="4"/>
              </w:num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我行部分经营类管理类重要敏感信息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pPr>
              <w:rPr>
                <w:rFonts w:ascii="仿宋_GB2312" w:hAnsi="仿宋_GB2312" w:eastAsia="仿宋_GB2312" w:cs="仿宋_GB2312"/>
                <w:color w:val="000000" w:themeColor="text1"/>
                <w:sz w:val="24"/>
                <w:szCs w:val="24"/>
                <w14:textFill>
                  <w14:solidFill>
                    <w14:schemeClr w14:val="tx1"/>
                  </w14:solidFill>
                </w14:textFill>
              </w:rPr>
            </w:pPr>
          </w:p>
        </w:tc>
        <w:tc>
          <w:tcPr>
            <w:tcW w:w="7708" w:type="dxa"/>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4.移动APP漏洞：包括但不限于任意代码执行，可利用的堆栈溢出、本地提权、UAF、Double Free、Format String、文件关联DLL劫持等可以获取APP非自由权限的漏洞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pPr>
              <w:rPr>
                <w:rFonts w:ascii="仿宋_GB2312" w:hAnsi="仿宋_GB2312" w:eastAsia="仿宋_GB2312" w:cs="仿宋_GB2312"/>
                <w:color w:val="000000" w:themeColor="text1"/>
                <w:sz w:val="24"/>
                <w:szCs w:val="24"/>
                <w14:textFill>
                  <w14:solidFill>
                    <w14:schemeClr w14:val="tx1"/>
                  </w14:solidFill>
                </w14:textFill>
              </w:rPr>
            </w:pPr>
          </w:p>
        </w:tc>
        <w:tc>
          <w:tcPr>
            <w:tcW w:w="7708" w:type="dxa"/>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5.移动APP自身存在的安全漏洞（不含安卓、IOS系统自身漏洞），包括不限于可被导出及利用的组件、APK代码可篡改执行、IPA完整性校验缺失等漏洞。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pPr>
              <w:rPr>
                <w:rFonts w:ascii="仿宋_GB2312" w:hAnsi="仿宋_GB2312" w:eastAsia="仿宋_GB2312" w:cs="仿宋_GB2312"/>
                <w:color w:val="000000" w:themeColor="text1"/>
                <w:sz w:val="24"/>
                <w:szCs w:val="24"/>
                <w14:textFill>
                  <w14:solidFill>
                    <w14:schemeClr w14:val="tx1"/>
                  </w14:solidFill>
                </w14:textFill>
              </w:rPr>
            </w:pPr>
          </w:p>
        </w:tc>
        <w:tc>
          <w:tcPr>
            <w:tcW w:w="7708" w:type="dxa"/>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6.互联网上搜索到超过1千条以上1万条以下客户敏感信息的泄漏事件，或者一般系统的关键源码泄漏事件，或可造成一般影响的黑灰产利用套路。（需要提供渠道信息和证据）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低危</w:t>
            </w:r>
          </w:p>
        </w:tc>
        <w:tc>
          <w:tcPr>
            <w:tcW w:w="7708" w:type="dxa"/>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1.可造成轻微影响的逻辑漏洞或者流程涉及缺陷，包括不限于可暴力注册、可暴力发表评论、可暴力登录提交、反射型XSS、URL任意跳转等。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pPr>
              <w:rPr>
                <w:rFonts w:ascii="仿宋_GB2312" w:hAnsi="仿宋_GB2312" w:eastAsia="仿宋_GB2312" w:cs="仿宋_GB2312"/>
                <w:color w:val="000000" w:themeColor="text1"/>
                <w:sz w:val="24"/>
                <w:szCs w:val="24"/>
                <w14:textFill>
                  <w14:solidFill>
                    <w14:schemeClr w14:val="tx1"/>
                  </w14:solidFill>
                </w14:textFill>
              </w:rPr>
            </w:pPr>
          </w:p>
        </w:tc>
        <w:tc>
          <w:tcPr>
            <w:tcW w:w="7708" w:type="dxa"/>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2.可导致移动APP敏感信息泄漏的漏洞（不含安卓、ios系统漏洞），包括不限于调试信息泄漏、数据库可读可篡改、资源文件可读可篡改、重要数据硬编码、头文件信息泄漏等。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pPr>
              <w:rPr>
                <w:rFonts w:ascii="仿宋_GB2312" w:hAnsi="仿宋_GB2312" w:eastAsia="仿宋_GB2312" w:cs="仿宋_GB2312"/>
                <w:color w:val="000000" w:themeColor="text1"/>
                <w:sz w:val="24"/>
                <w:szCs w:val="24"/>
                <w14:textFill>
                  <w14:solidFill>
                    <w14:schemeClr w14:val="tx1"/>
                  </w14:solidFill>
                </w14:textFill>
              </w:rPr>
            </w:pPr>
          </w:p>
        </w:tc>
        <w:tc>
          <w:tcPr>
            <w:tcW w:w="7708" w:type="dxa"/>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3.移动APP安全机制缺失，包括不限于：可被逆向、反编译、动态调试、进程注入等。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pPr>
              <w:rPr>
                <w:rFonts w:ascii="仿宋_GB2312" w:hAnsi="仿宋_GB2312" w:eastAsia="仿宋_GB2312" w:cs="仿宋_GB2312"/>
                <w:color w:val="000000" w:themeColor="text1"/>
                <w:sz w:val="24"/>
                <w:szCs w:val="24"/>
                <w14:textFill>
                  <w14:solidFill>
                    <w14:schemeClr w14:val="tx1"/>
                  </w14:solidFill>
                </w14:textFill>
              </w:rPr>
            </w:pPr>
          </w:p>
        </w:tc>
        <w:tc>
          <w:tcPr>
            <w:tcW w:w="7708" w:type="dxa"/>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4.邮箱炸弹、短信炸弹等消耗资源的问题。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pPr>
              <w:rPr>
                <w:rFonts w:ascii="仿宋_GB2312" w:hAnsi="仿宋_GB2312" w:eastAsia="仿宋_GB2312" w:cs="仿宋_GB2312"/>
                <w:color w:val="000000" w:themeColor="text1"/>
                <w:sz w:val="24"/>
                <w:szCs w:val="24"/>
                <w14:textFill>
                  <w14:solidFill>
                    <w14:schemeClr w14:val="tx1"/>
                  </w14:solidFill>
                </w14:textFill>
              </w:rPr>
            </w:pPr>
          </w:p>
        </w:tc>
        <w:tc>
          <w:tcPr>
            <w:tcW w:w="7708" w:type="dxa"/>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5.轻微影响的信息泄漏，如SVN源码泄漏，git源码泄漏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pPr>
              <w:rPr>
                <w:rFonts w:ascii="仿宋_GB2312" w:hAnsi="仿宋_GB2312" w:eastAsia="仿宋_GB2312" w:cs="仿宋_GB2312"/>
                <w:color w:val="000000" w:themeColor="text1"/>
                <w:sz w:val="24"/>
                <w:szCs w:val="24"/>
                <w14:textFill>
                  <w14:solidFill>
                    <w14:schemeClr w14:val="tx1"/>
                  </w14:solidFill>
                </w14:textFill>
              </w:rPr>
            </w:pPr>
          </w:p>
        </w:tc>
        <w:tc>
          <w:tcPr>
            <w:tcW w:w="7708" w:type="dxa"/>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6.发现系统未做密码弱口令控制，或者发现登录认证弱口令。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pPr>
              <w:rPr>
                <w:rFonts w:ascii="仿宋_GB2312" w:hAnsi="仿宋_GB2312" w:eastAsia="仿宋_GB2312" w:cs="仿宋_GB2312"/>
                <w:color w:val="000000" w:themeColor="text1"/>
                <w:sz w:val="24"/>
                <w:szCs w:val="24"/>
                <w14:textFill>
                  <w14:solidFill>
                    <w14:schemeClr w14:val="tx1"/>
                  </w14:solidFill>
                </w14:textFill>
              </w:rPr>
            </w:pPr>
          </w:p>
        </w:tc>
        <w:tc>
          <w:tcPr>
            <w:tcW w:w="7708" w:type="dxa"/>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7.互联网上搜索到超过100条以上1000条以下客户敏感信息的泄漏事件，或者系统的少量源码泄漏事件，或历史上造成过影响的黑灰产利用套路。（需要提供渠道信息和证据）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无效</w:t>
            </w:r>
          </w:p>
        </w:tc>
        <w:tc>
          <w:tcPr>
            <w:tcW w:w="7708" w:type="dxa"/>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1.无关安全的BUG。包括但不限于产品的功能缺陷，网页乱码，样式混乱，无效链接、静态文件目录遍历、应用兼容问题等。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pPr>
              <w:rPr>
                <w:rFonts w:ascii="仿宋_GB2312" w:hAnsi="仿宋_GB2312" w:eastAsia="仿宋_GB2312" w:cs="仿宋_GB2312"/>
                <w:color w:val="000000" w:themeColor="text1"/>
                <w:sz w:val="24"/>
                <w:szCs w:val="24"/>
                <w14:textFill>
                  <w14:solidFill>
                    <w14:schemeClr w14:val="tx1"/>
                  </w14:solidFill>
                </w14:textFill>
              </w:rPr>
            </w:pPr>
          </w:p>
        </w:tc>
        <w:tc>
          <w:tcPr>
            <w:tcW w:w="7708" w:type="dxa"/>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2.无法利用的漏洞。包括不限于没有经过验证码的扫描器漏洞、无敏感操作的CSRF（如收藏等）、无意义的源码泄漏、内网地址泄漏、路径泄漏、域名泄漏、401基础认证钓鱼。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pPr>
              <w:rPr>
                <w:rFonts w:ascii="仿宋_GB2312" w:hAnsi="仿宋_GB2312" w:eastAsia="仿宋_GB2312" w:cs="仿宋_GB2312"/>
                <w:color w:val="000000" w:themeColor="text1"/>
                <w:sz w:val="24"/>
                <w:szCs w:val="24"/>
                <w14:textFill>
                  <w14:solidFill>
                    <w14:schemeClr w14:val="tx1"/>
                  </w14:solidFill>
                </w14:textFill>
              </w:rPr>
            </w:pPr>
          </w:p>
        </w:tc>
        <w:tc>
          <w:tcPr>
            <w:tcW w:w="7708" w:type="dxa"/>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3.无证据的猜测，不能直接反映漏洞存在的其他问题。</w:t>
            </w:r>
          </w:p>
        </w:tc>
      </w:tr>
    </w:tbl>
    <w:p>
      <w:pPr>
        <w:snapToGrid w:val="0"/>
        <w:spacing w:line="360" w:lineRule="auto"/>
        <w:ind w:firstLine="562"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b/>
          <w:bCs/>
          <w:color w:val="000000" w:themeColor="text1"/>
          <w:sz w:val="28"/>
          <w14:textFill>
            <w14:solidFill>
              <w14:schemeClr w14:val="tx1"/>
            </w14:solidFill>
          </w14:textFill>
        </w:rPr>
        <w:t>标段二：</w:t>
      </w:r>
      <w:r>
        <w:rPr>
          <w:rFonts w:hint="eastAsia" w:ascii="仿宋_GB2312" w:eastAsia="仿宋_GB2312"/>
          <w:b/>
          <w:bCs/>
          <w:color w:val="000000" w:themeColor="text1"/>
          <w:sz w:val="28"/>
          <w:szCs w:val="28"/>
          <w14:textFill>
            <w14:solidFill>
              <w14:schemeClr w14:val="tx1"/>
            </w14:solidFill>
          </w14:textFill>
        </w:rPr>
        <w:t>安全攻防演练服务</w:t>
      </w:r>
    </w:p>
    <w:p>
      <w:pPr>
        <w:snapToGrid w:val="0"/>
        <w:spacing w:line="360" w:lineRule="auto"/>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_GB2312" w:hAnsi="宋体" w:eastAsia="仿宋_GB2312"/>
          <w:snapToGrid w:val="0"/>
          <w:color w:val="000000" w:themeColor="text1"/>
          <w:kern w:val="0"/>
          <w:sz w:val="28"/>
          <w:szCs w:val="28"/>
          <w14:textFill>
            <w14:solidFill>
              <w14:schemeClr w14:val="tx1"/>
            </w14:solidFill>
          </w14:textFill>
        </w:rPr>
        <w:t>采购需求如下：</w:t>
      </w:r>
    </w:p>
    <w:p>
      <w:pPr>
        <w:snapToGrid w:val="0"/>
        <w:spacing w:line="360" w:lineRule="auto"/>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项目实施内容：引入2支攻击队，配合我行组织开展一次为期10个工作日的网络安全攻防演练服务，采用实战方式，以发现安全漏洞、获取业务权限或数据为目标，在不影响业务的情况下不限攻击路径、不限渠道对行内全网进行边界突破，重点检验安全监控手段的有效性，攻防演练场景至少包含攻击扫描、边界突破、权限获取、内网主机失陷、横向移动等。</w:t>
      </w:r>
    </w:p>
    <w:p>
      <w:pPr>
        <w:snapToGrid w:val="0"/>
        <w:spacing w:line="360" w:lineRule="auto"/>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2.入围数量：2家供应商；</w:t>
      </w:r>
    </w:p>
    <w:p>
      <w:pPr>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3.项目签订框架合同，合同基础金额为零，根据实际演练目标达成情况结算金额；</w:t>
      </w:r>
    </w:p>
    <w:p>
      <w:pPr>
        <w:snapToGrid w:val="0"/>
        <w:spacing w:line="360" w:lineRule="auto"/>
        <w:ind w:firstLine="560" w:firstLineChars="200"/>
        <w:rPr>
          <w:rFonts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4.实施时间：</w:t>
      </w:r>
      <w:r>
        <w:rPr>
          <w:rFonts w:hint="eastAsia" w:ascii="仿宋_GB2312" w:hAnsi="仿宋_GB2312" w:eastAsia="仿宋_GB2312" w:cs="仿宋_GB2312"/>
          <w:snapToGrid w:val="0"/>
          <w:color w:val="000000" w:themeColor="text1"/>
          <w:sz w:val="28"/>
          <w:szCs w:val="28"/>
          <w14:textFill>
            <w14:solidFill>
              <w14:schemeClr w14:val="tx1"/>
            </w14:solidFill>
          </w14:textFill>
        </w:rPr>
        <w:t>启动和结束时间以我行正式通知为准，对于由于特殊原因需要避开的测试时段或测试系统，我行将提前通知测试方。</w:t>
      </w:r>
    </w:p>
    <w:p>
      <w:pPr>
        <w:snapToGrid w:val="0"/>
        <w:spacing w:line="360" w:lineRule="auto"/>
        <w:ind w:firstLine="560" w:firstLineChars="200"/>
        <w:rPr>
          <w:rFonts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5.实施方式：</w:t>
      </w:r>
      <w:r>
        <w:rPr>
          <w:rFonts w:hint="eastAsia" w:ascii="仿宋_GB2312" w:hAnsi="仿宋_GB2312" w:eastAsia="仿宋_GB2312" w:cs="仿宋_GB2312"/>
          <w:snapToGrid w:val="0"/>
          <w:color w:val="000000" w:themeColor="text1"/>
          <w:sz w:val="28"/>
          <w:szCs w:val="28"/>
          <w14:textFill>
            <w14:solidFill>
              <w14:schemeClr w14:val="tx1"/>
            </w14:solidFill>
          </w14:textFill>
        </w:rPr>
        <w:t>采用现场加远程方式，供应商须提供自有红方攻击队，演练期间需至少派驻一人在现场，与我行人员及时沟通攻击范围、攻击手段、攻击时间等，远程仅限于信息收集和外网打点制造突破口，一旦突破互联网边界立即停止攻击，由我行人员确认后进行下一步行动，所有内网攻击仅限于现场进行，现场攻击需要在我行员工监督下进行。</w:t>
      </w:r>
    </w:p>
    <w:p>
      <w:pPr>
        <w:pStyle w:val="2"/>
        <w:snapToGrid w:val="0"/>
        <w:spacing w:after="0" w:line="360" w:lineRule="auto"/>
        <w:ind w:firstLine="560" w:firstLineChars="200"/>
        <w:rPr>
          <w:color w:val="000000" w:themeColor="text1"/>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6.实施要求</w:t>
      </w:r>
    </w:p>
    <w:p>
      <w:pPr>
        <w:pStyle w:val="30"/>
        <w:snapToGrid w:val="0"/>
        <w:spacing w:line="360" w:lineRule="auto"/>
        <w:ind w:firstLine="560" w:firstLineChars="200"/>
        <w:jc w:val="left"/>
        <w:rPr>
          <w:rFonts w:ascii="仿宋_GB2312" w:hAnsi="仿宋_GB2312" w:eastAsia="仿宋_GB2312" w:cs="仿宋_GB2312"/>
          <w:snapToGrid w:val="0"/>
          <w:color w:val="000000" w:themeColor="text1"/>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8"/>
          <w:szCs w:val="28"/>
          <w:lang w:val="en-US" w:eastAsia="zh-CN" w:bidi="ar-SA"/>
          <w14:textFill>
            <w14:solidFill>
              <w14:schemeClr w14:val="tx1"/>
            </w14:solidFill>
          </w14:textFill>
        </w:rPr>
        <w:t>（1）人员要求：实施人员必须为投标单位的正式员工，不得转包或者由第三方提供服务，应提供人员固定的队伍，不得临时换人。</w:t>
      </w:r>
    </w:p>
    <w:p>
      <w:pPr>
        <w:pStyle w:val="30"/>
        <w:snapToGrid w:val="0"/>
        <w:spacing w:line="360" w:lineRule="auto"/>
        <w:ind w:firstLine="560" w:firstLineChars="200"/>
        <w:jc w:val="left"/>
        <w:rPr>
          <w:rFonts w:ascii="仿宋_GB2312" w:hAnsi="仿宋_GB2312" w:eastAsia="仿宋_GB2312" w:cs="仿宋_GB2312"/>
          <w:snapToGrid w:val="0"/>
          <w:color w:val="000000" w:themeColor="text1"/>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8"/>
          <w:szCs w:val="28"/>
          <w:lang w:val="en-US" w:eastAsia="zh-CN" w:bidi="ar-SA"/>
          <w14:textFill>
            <w14:solidFill>
              <w14:schemeClr w14:val="tx1"/>
            </w14:solidFill>
          </w14:textFill>
        </w:rPr>
        <w:t>（2）授权机制：演练工作开展前，入围的厂商和人员必须和我行签订保密协议，获得授权书，明确安全保密要求和授权操作，测试厂商必须提供人员名单，测试人员须严格遵守我行确定的管控措施（包括但不限于限定测试人员，限定测试IP等），未经我行允许不得开始演练工作。</w:t>
      </w:r>
    </w:p>
    <w:p>
      <w:pPr>
        <w:pStyle w:val="30"/>
        <w:snapToGrid w:val="0"/>
        <w:spacing w:line="360" w:lineRule="auto"/>
        <w:ind w:firstLine="560" w:firstLineChars="200"/>
        <w:jc w:val="left"/>
        <w:rPr>
          <w:rFonts w:ascii="仿宋_GB2312" w:hAnsi="仿宋_GB2312" w:eastAsia="仿宋_GB2312" w:cs="仿宋_GB2312"/>
          <w:snapToGrid w:val="0"/>
          <w:color w:val="000000" w:themeColor="text1"/>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8"/>
          <w:szCs w:val="28"/>
          <w:lang w:val="en-US" w:eastAsia="zh-CN" w:bidi="ar-SA"/>
          <w14:textFill>
            <w14:solidFill>
              <w14:schemeClr w14:val="tx1"/>
            </w14:solidFill>
          </w14:textFill>
        </w:rPr>
        <w:t>（3）攻击手段：禁止可能引起业务异常运行的测试，如DDOS攻击、暴力破解。进行上传后门、扫描、检测或者恶意软件，须征得我行同意方可进行，且必须列出清单，协助我行清理干净。</w:t>
      </w:r>
    </w:p>
    <w:p>
      <w:pPr>
        <w:pStyle w:val="30"/>
        <w:snapToGrid w:val="0"/>
        <w:spacing w:line="360" w:lineRule="auto"/>
        <w:ind w:firstLine="560" w:firstLineChars="200"/>
        <w:jc w:val="left"/>
        <w:rPr>
          <w:rFonts w:ascii="仿宋_GB2312" w:hAnsi="仿宋_GB2312" w:eastAsia="仿宋_GB2312" w:cs="仿宋_GB2312"/>
          <w:snapToGrid w:val="0"/>
          <w:color w:val="000000" w:themeColor="text1"/>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8"/>
          <w:szCs w:val="28"/>
          <w:lang w:val="en-US" w:eastAsia="zh-CN" w:bidi="ar-SA"/>
          <w14:textFill>
            <w14:solidFill>
              <w14:schemeClr w14:val="tx1"/>
            </w14:solidFill>
          </w14:textFill>
        </w:rPr>
        <w:t>（4）违规机制：禁止保存和传播与业务相关的敏感数据，包括但不限于业务服务器以及Github等平台泄露的源代码、运营数据、用户资料等，若存在不知情的下载行为，需及时说明和删除。严禁将发现的漏洞进行黑灰产交易等恶意行为，如出现上述行为，我行保留追究法律责任的权力。</w:t>
      </w:r>
    </w:p>
    <w:p>
      <w:pPr>
        <w:pStyle w:val="30"/>
        <w:snapToGrid w:val="0"/>
        <w:spacing w:line="360" w:lineRule="auto"/>
        <w:ind w:firstLine="560" w:firstLineChars="200"/>
        <w:jc w:val="left"/>
        <w:rPr>
          <w:rFonts w:ascii="仿宋_GB2312" w:hAnsi="仿宋_GB2312" w:eastAsia="仿宋_GB2312" w:cs="仿宋_GB2312"/>
          <w:snapToGrid w:val="0"/>
          <w:color w:val="000000" w:themeColor="text1"/>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8"/>
          <w:szCs w:val="28"/>
          <w:lang w:val="en-US" w:eastAsia="zh-CN" w:bidi="ar-SA"/>
          <w14:textFill>
            <w14:solidFill>
              <w14:schemeClr w14:val="tx1"/>
            </w14:solidFill>
          </w14:textFill>
        </w:rPr>
        <w:t>（5）暂停机制：演练过程中，我行有权根据演练情况，宣布提前终止本次演练工作，并以各方截止到终止时的演练成果情况，进行费用结算。</w:t>
      </w:r>
    </w:p>
    <w:p>
      <w:pPr>
        <w:pStyle w:val="2"/>
        <w:snapToGrid w:val="0"/>
        <w:spacing w:after="0" w:line="360" w:lineRule="auto"/>
        <w:ind w:firstLine="420" w:firstLineChars="200"/>
        <w:jc w:val="left"/>
        <w:rPr>
          <w:rFonts w:ascii="仿宋_GB2312" w:hAnsi="仿宋_GB2312" w:eastAsia="仿宋_GB2312" w:cs="仿宋_GB2312"/>
          <w:snapToGrid w:val="0"/>
          <w:color w:val="000000" w:themeColor="text1"/>
          <w:sz w:val="28"/>
          <w:szCs w:val="28"/>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仿宋_GB2312" w:hAnsi="仿宋_GB2312" w:eastAsia="仿宋_GB2312" w:cs="仿宋_GB2312"/>
          <w:snapToGrid w:val="0"/>
          <w:color w:val="000000" w:themeColor="text1"/>
          <w:sz w:val="28"/>
          <w:szCs w:val="28"/>
          <w14:textFill>
            <w14:solidFill>
              <w14:schemeClr w14:val="tx1"/>
            </w14:solidFill>
          </w14:textFill>
        </w:rPr>
        <w:t>（6）审计要求：各厂商需确保涉及攻击、收集、测试等网络攻击行为过程记录详细。包括不限于视频记录、流量记录和文本记录等，保留攻击痕迹和证据，供我行事后随时调阅审计。</w:t>
      </w:r>
    </w:p>
    <w:p>
      <w:pPr>
        <w:pStyle w:val="2"/>
        <w:snapToGrid w:val="0"/>
        <w:spacing w:after="0" w:line="360" w:lineRule="auto"/>
        <w:ind w:firstLine="560" w:firstLineChars="200"/>
        <w:jc w:val="left"/>
        <w:rPr>
          <w:color w:val="000000" w:themeColor="text1"/>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（7）结算规则：为体现竞争激励机制，将根据各厂商演练场景完成情况、边界突破情况、内网权限获取情况等，判断本次演练内容达标情况，具体实施细则及评分规则将在项目实施前公布。</w:t>
      </w:r>
    </w:p>
    <w:p>
      <w:pPr>
        <w:snapToGrid w:val="0"/>
        <w:spacing w:line="360" w:lineRule="auto"/>
        <w:outlineLvl w:val="1"/>
        <w:rPr>
          <w:rFonts w:ascii="黑体" w:hAnsi="宋体" w:eastAsia="黑体"/>
          <w:b/>
          <w:snapToGrid w:val="0"/>
          <w:color w:val="000000" w:themeColor="text1"/>
          <w:kern w:val="0"/>
          <w:sz w:val="28"/>
          <w:szCs w:val="28"/>
          <w14:textFill>
            <w14:solidFill>
              <w14:schemeClr w14:val="tx1"/>
            </w14:solidFill>
          </w14:textFill>
        </w:rPr>
      </w:pPr>
      <w:r>
        <w:rPr>
          <w:rFonts w:hint="eastAsia" w:ascii="黑体" w:hAnsi="宋体" w:eastAsia="黑体"/>
          <w:b/>
          <w:snapToGrid w:val="0"/>
          <w:color w:val="000000" w:themeColor="text1"/>
          <w:kern w:val="0"/>
          <w:sz w:val="28"/>
          <w:szCs w:val="28"/>
          <w14:textFill>
            <w14:solidFill>
              <w14:schemeClr w14:val="tx1"/>
            </w14:solidFill>
          </w14:textFill>
        </w:rPr>
        <w:t>四、报价总则</w:t>
      </w:r>
    </w:p>
    <w:p>
      <w:pPr>
        <w:snapToGrid w:val="0"/>
        <w:spacing w:line="360" w:lineRule="auto"/>
        <w:ind w:firstLine="567"/>
        <w:rPr>
          <w:rFonts w:ascii="仿宋_GB2312" w:hAnsi="宋体" w:eastAsia="仿宋_GB2312"/>
          <w:snapToGrid w:val="0"/>
          <w:color w:val="000000" w:themeColor="text1"/>
          <w:kern w:val="0"/>
          <w:sz w:val="28"/>
          <w:szCs w:val="28"/>
          <w14:textFill>
            <w14:solidFill>
              <w14:schemeClr w14:val="tx1"/>
            </w14:solidFill>
          </w14:textFill>
        </w:rPr>
      </w:pPr>
      <w:r>
        <w:rPr>
          <w:rFonts w:hint="eastAsia" w:ascii="仿宋_GB2312" w:hAnsi="宋体" w:eastAsia="仿宋_GB2312"/>
          <w:snapToGrid w:val="0"/>
          <w:color w:val="000000" w:themeColor="text1"/>
          <w:kern w:val="0"/>
          <w:sz w:val="28"/>
          <w:szCs w:val="28"/>
          <w14:textFill>
            <w14:solidFill>
              <w14:schemeClr w14:val="tx1"/>
            </w14:solidFill>
          </w14:textFill>
        </w:rPr>
        <w:t>1、投标人必须对整体实施服务进行报价，并对所投标的各项服务内容进行单独完整报价。（参照附件4：《投标价格一览表》）</w:t>
      </w:r>
    </w:p>
    <w:p>
      <w:pPr>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2、每个服务的报价必须唯一；</w:t>
      </w:r>
    </w:p>
    <w:p>
      <w:pPr>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3、所有报价均应已包含国家规定的所有税费；</w:t>
      </w:r>
    </w:p>
    <w:p>
      <w:pPr>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w:t>
      </w:r>
      <w:r>
        <w:rPr>
          <w:rFonts w:ascii="仿宋_GB2312" w:hAnsi="宋体" w:eastAsia="仿宋_GB2312"/>
          <w:color w:val="000000" w:themeColor="text1"/>
          <w:sz w:val="28"/>
          <w14:textFill>
            <w14:solidFill>
              <w14:schemeClr w14:val="tx1"/>
            </w14:solidFill>
          </w14:textFill>
        </w:rPr>
        <w:t>、</w:t>
      </w:r>
      <w:r>
        <w:rPr>
          <w:rFonts w:hint="eastAsia" w:ascii="仿宋_GB2312" w:hAnsi="宋体" w:eastAsia="仿宋_GB2312"/>
          <w:color w:val="000000" w:themeColor="text1"/>
          <w:sz w:val="28"/>
          <w14:textFill>
            <w14:solidFill>
              <w14:schemeClr w14:val="tx1"/>
            </w14:solidFill>
          </w14:textFill>
        </w:rPr>
        <w:t>投标人承诺在签署合同价格中允许有相当于合同项目总工作量新增或变动的需求比例。在此范围内的服务费用全部由投标人承担。</w:t>
      </w:r>
    </w:p>
    <w:p>
      <w:pPr>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5、付款方式</w:t>
      </w:r>
    </w:p>
    <w:p>
      <w:pPr>
        <w:pStyle w:val="5"/>
        <w:snapToGrid w:val="0"/>
        <w:spacing w:line="360" w:lineRule="auto"/>
        <w:ind w:firstLine="843" w:firstLineChars="3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标段一</w:t>
      </w:r>
      <w:r>
        <w:rPr>
          <w:rFonts w:hint="eastAsia" w:ascii="仿宋_GB2312" w:hAnsi="宋体" w:eastAsia="仿宋_GB2312"/>
          <w:color w:val="000000" w:themeColor="text1"/>
          <w:sz w:val="28"/>
          <w:szCs w:val="28"/>
          <w14:textFill>
            <w14:solidFill>
              <w14:schemeClr w14:val="tx1"/>
            </w14:solidFill>
          </w14:textFill>
        </w:rPr>
        <w:t>：付款方式：</w:t>
      </w:r>
      <w:r>
        <w:rPr>
          <w:rFonts w:hint="eastAsia" w:ascii="仿宋_GB2312" w:hAnsi="宋体" w:eastAsia="仿宋_GB2312"/>
          <w:color w:val="000000" w:themeColor="text1"/>
          <w:sz w:val="28"/>
          <w14:textFill>
            <w14:solidFill>
              <w14:schemeClr w14:val="tx1"/>
            </w14:solidFill>
          </w14:textFill>
        </w:rPr>
        <w:t>双方签署合同后，项目实施完成并出具相关评估报告及整改建议，且行方确认无误的30个工作日内，按照挖掘的有效漏洞级别*个数*漏洞单价的总金额支付50%，完成复测确认所有漏洞已整改，出具整改复测报告的 30个工作日内，按照挖掘的有效漏洞级别*个数*漏洞单价的总金额支付50%。</w:t>
      </w:r>
    </w:p>
    <w:p>
      <w:pPr>
        <w:pStyle w:val="5"/>
        <w:snapToGrid w:val="0"/>
        <w:spacing w:line="360" w:lineRule="auto"/>
        <w:ind w:firstLine="843" w:firstLineChars="3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标段二</w:t>
      </w:r>
      <w:r>
        <w:rPr>
          <w:rFonts w:hint="eastAsia" w:ascii="仿宋_GB2312" w:hAnsi="宋体" w:eastAsia="仿宋_GB2312"/>
          <w:color w:val="000000" w:themeColor="text1"/>
          <w:sz w:val="28"/>
          <w:szCs w:val="28"/>
          <w14:textFill>
            <w14:solidFill>
              <w14:schemeClr w14:val="tx1"/>
            </w14:solidFill>
          </w14:textFill>
        </w:rPr>
        <w:t>：付款方式：</w:t>
      </w:r>
      <w:r>
        <w:rPr>
          <w:rFonts w:hint="eastAsia" w:ascii="仿宋_GB2312" w:hAnsi="宋体" w:eastAsia="仿宋_GB2312"/>
          <w:color w:val="000000" w:themeColor="text1"/>
          <w:sz w:val="28"/>
          <w14:textFill>
            <w14:solidFill>
              <w14:schemeClr w14:val="tx1"/>
            </w14:solidFill>
          </w14:textFill>
        </w:rPr>
        <w:t>双方签署合同后，项目实施完成并出具相关评估报告及整改建议，且行方确认无误的30个工作日内，按照攻防演练内容达标情况结算金额支付50%。完成复测确认所有漏洞已整改，出具整改复测报告的 30个工作日内，按照攻防演练内容达标情况结算金额支付50%。</w:t>
      </w:r>
    </w:p>
    <w:p>
      <w:pPr>
        <w:pStyle w:val="5"/>
        <w:snapToGrid w:val="0"/>
        <w:spacing w:line="600" w:lineRule="exact"/>
        <w:ind w:firstLine="960" w:firstLineChars="300"/>
        <w:rPr>
          <w:rFonts w:ascii="黑体" w:hAnsi="宋体" w:eastAsia="黑体"/>
          <w:color w:val="000000" w:themeColor="text1"/>
          <w:sz w:val="32"/>
          <w:szCs w:val="32"/>
          <w14:textFill>
            <w14:solidFill>
              <w14:schemeClr w14:val="tx1"/>
            </w14:solidFill>
          </w14:textFill>
        </w:rPr>
      </w:pPr>
    </w:p>
    <w:p>
      <w:pPr>
        <w:snapToGrid w:val="0"/>
        <w:spacing w:line="360" w:lineRule="auto"/>
        <w:ind w:firstLine="2560" w:firstLineChars="800"/>
        <w:rPr>
          <w:rFonts w:ascii="黑体" w:hAnsi="宋体" w:eastAsia="黑体"/>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keepNext w:val="0"/>
        <w:keepLines w:val="0"/>
        <w:jc w:val="center"/>
        <w:rPr>
          <w:rFonts w:ascii="黑体" w:hAnsi="黑体" w:eastAsia="黑体"/>
          <w:snapToGrid w:val="0"/>
          <w:color w:val="000000" w:themeColor="text1"/>
          <w:sz w:val="32"/>
          <w:szCs w:val="32"/>
          <w14:textFill>
            <w14:solidFill>
              <w14:schemeClr w14:val="tx1"/>
            </w14:solidFill>
          </w14:textFill>
        </w:rPr>
      </w:pPr>
      <w:r>
        <w:rPr>
          <w:rFonts w:hint="eastAsia" w:ascii="黑体" w:hAnsi="黑体" w:eastAsia="黑体"/>
          <w:snapToGrid w:val="0"/>
          <w:color w:val="000000" w:themeColor="text1"/>
          <w:sz w:val="32"/>
          <w:szCs w:val="32"/>
          <w14:textFill>
            <w14:solidFill>
              <w14:schemeClr w14:val="tx1"/>
            </w14:solidFill>
          </w14:textFill>
        </w:rPr>
        <w:t>第三部分</w:t>
      </w:r>
      <w:r>
        <w:rPr>
          <w:rFonts w:hint="eastAsia" w:ascii="黑体" w:hAnsi="黑体" w:eastAsia="黑体"/>
          <w:snapToGrid w:val="0"/>
          <w:color w:val="000000" w:themeColor="text1"/>
          <w:sz w:val="32"/>
          <w:szCs w:val="32"/>
          <w14:textFill>
            <w14:solidFill>
              <w14:schemeClr w14:val="tx1"/>
            </w14:solidFill>
          </w14:textFill>
        </w:rPr>
        <w:tab/>
      </w:r>
      <w:r>
        <w:rPr>
          <w:rFonts w:hint="eastAsia" w:ascii="黑体" w:hAnsi="黑体" w:eastAsia="黑体"/>
          <w:snapToGrid w:val="0"/>
          <w:color w:val="000000" w:themeColor="text1"/>
          <w:sz w:val="32"/>
          <w:szCs w:val="32"/>
          <w14:textFill>
            <w14:solidFill>
              <w14:schemeClr w14:val="tx1"/>
            </w14:solidFill>
          </w14:textFill>
        </w:rPr>
        <w:t>招标说明</w:t>
      </w:r>
    </w:p>
    <w:p>
      <w:pPr>
        <w:pStyle w:val="4"/>
        <w:keepNext w:val="0"/>
        <w:keepLines w:val="0"/>
        <w:snapToGrid w:val="0"/>
        <w:spacing w:before="0" w:after="0"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napToGrid w:val="0"/>
          <w:color w:val="000000" w:themeColor="text1"/>
          <w:kern w:val="0"/>
          <w:sz w:val="28"/>
          <w:szCs w:val="28"/>
          <w14:textFill>
            <w14:solidFill>
              <w14:schemeClr w14:val="tx1"/>
            </w14:solidFill>
          </w14:textFill>
        </w:rPr>
        <w:t>一</w:t>
      </w:r>
      <w:r>
        <w:rPr>
          <w:rFonts w:hint="eastAsia" w:ascii="仿宋" w:hAnsi="仿宋" w:eastAsia="仿宋"/>
          <w:color w:val="000000" w:themeColor="text1"/>
          <w:sz w:val="28"/>
          <w:szCs w:val="28"/>
          <w14:textFill>
            <w14:solidFill>
              <w14:schemeClr w14:val="tx1"/>
            </w14:solidFill>
          </w14:textFill>
        </w:rPr>
        <w:t>、总体说明</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（一）适用范围</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本招标文件仅适用于江苏昆山农村商业银行股份有限公司（以下简称“昆山农商银行”）采购而进行的公开招标。</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（二）定义</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1、“招标人”系指组织本次招标的招标机构：昆山农商银行；</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2、“投标人”系指遵守招标文件要求并向招标人提交投标文件的法人单位；</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3、“设备（系统）”系指投标人按招标文件规定，须向招标人提供的设备、软件系统、备品备件、工具、手册及其他有关技术资料和材料；</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4、“服务”系指招标文件规定投标人须承担的技术服务、运输、安装调试、人员培训、售后服务和其他类似的义务；</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5、“招标文件”系指本文件及其附件，如招标人对招标文件及其附件进行有效的修改或澄清，则该修改和澄清构成招标文件不可分割的一部分；</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7、“无效的投标文件”系指属于下列情况之一者，将作为无效处理：</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1）投标文件未按招标文件的要求密封；</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 投标文件未盖公章或未经法定代表人（或授权代理人）签字；</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3）投标文件未按招标文件规定的格式、内容和要求填写；</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4）在投标文件截止期后送达或是通过电报、电话、电传、传真投标文件；</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5）投标文件字迹模糊不清无法辨认的；</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6）投标人在投标文件中提供虚假信息的；</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7）投标文件未送达指定地点，指定接收人。</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（三）对投标人的要求</w:t>
      </w:r>
    </w:p>
    <w:p>
      <w:pPr>
        <w:snapToGrid w:val="0"/>
        <w:spacing w:line="360" w:lineRule="auto"/>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投标人必须为具有独立企业法人资格，具有合法名称、组织机构、固定的办公场所，注册资本要求不少于500万元人民币（或等值外币），注册时间不少于3年，并具有良好的技术力量、商业信誉和售后服务体系；</w:t>
      </w:r>
    </w:p>
    <w:p>
      <w:pPr>
        <w:snapToGrid w:val="0"/>
        <w:spacing w:line="360" w:lineRule="auto"/>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投标人</w:t>
      </w:r>
      <w:r>
        <w:rPr>
          <w:rFonts w:ascii="仿宋" w:hAnsi="仿宋" w:eastAsia="仿宋" w:cs="宋体"/>
          <w:color w:val="000000" w:themeColor="text1"/>
          <w:kern w:val="0"/>
          <w:sz w:val="28"/>
          <w:szCs w:val="28"/>
          <w14:textFill>
            <w14:solidFill>
              <w14:schemeClr w14:val="tx1"/>
            </w14:solidFill>
          </w14:textFill>
        </w:rPr>
        <w:t>必须具有良好的经济和技术实力，能够按时提交招标人要求的交付件，并能够及时地提供招标人要求的优质服务；</w:t>
      </w:r>
    </w:p>
    <w:p>
      <w:pPr>
        <w:snapToGrid w:val="0"/>
        <w:spacing w:line="360" w:lineRule="auto"/>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投标人</w:t>
      </w:r>
      <w:r>
        <w:rPr>
          <w:rFonts w:ascii="仿宋" w:hAnsi="仿宋" w:eastAsia="仿宋" w:cs="宋体"/>
          <w:color w:val="000000" w:themeColor="text1"/>
          <w:kern w:val="0"/>
          <w:sz w:val="28"/>
          <w:szCs w:val="28"/>
          <w14:textFill>
            <w14:solidFill>
              <w14:schemeClr w14:val="tx1"/>
            </w14:solidFill>
          </w14:textFill>
        </w:rPr>
        <w:t>必须具有良好的银行资信和商业信誉，没有违法、违约记录，不处于被责令停业，财产被接管、冻结、破产等非正常经营状态；</w:t>
      </w:r>
    </w:p>
    <w:p>
      <w:pPr>
        <w:snapToGrid w:val="0"/>
        <w:spacing w:line="360" w:lineRule="auto"/>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4</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投标人</w:t>
      </w:r>
      <w:r>
        <w:rPr>
          <w:rFonts w:ascii="仿宋" w:hAnsi="仿宋" w:eastAsia="仿宋" w:cs="宋体"/>
          <w:color w:val="000000" w:themeColor="text1"/>
          <w:kern w:val="0"/>
          <w:sz w:val="28"/>
          <w:szCs w:val="28"/>
          <w14:textFill>
            <w14:solidFill>
              <w14:schemeClr w14:val="tx1"/>
            </w14:solidFill>
          </w14:textFill>
        </w:rPr>
        <w:t>不得联合第三方共同投标，否则取消投标资格，且不允许中标后将本招标进行分包、转包；</w:t>
      </w:r>
    </w:p>
    <w:p>
      <w:pPr>
        <w:snapToGrid w:val="0"/>
        <w:spacing w:line="360" w:lineRule="auto"/>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5</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投标人</w:t>
      </w:r>
      <w:r>
        <w:rPr>
          <w:rFonts w:ascii="仿宋" w:hAnsi="仿宋" w:eastAsia="仿宋" w:cs="宋体"/>
          <w:color w:val="000000" w:themeColor="text1"/>
          <w:kern w:val="0"/>
          <w:sz w:val="28"/>
          <w:szCs w:val="28"/>
          <w14:textFill>
            <w14:solidFill>
              <w14:schemeClr w14:val="tx1"/>
            </w14:solidFill>
          </w14:textFill>
        </w:rPr>
        <w:t>为代理商的，必须提供原厂授权函</w:t>
      </w:r>
      <w:r>
        <w:rPr>
          <w:rFonts w:hint="eastAsia" w:ascii="仿宋" w:hAnsi="仿宋" w:eastAsia="仿宋" w:cs="宋体"/>
          <w:color w:val="000000" w:themeColor="text1"/>
          <w:kern w:val="0"/>
          <w:sz w:val="28"/>
          <w:szCs w:val="28"/>
          <w14:textFill>
            <w14:solidFill>
              <w14:schemeClr w14:val="tx1"/>
            </w14:solidFill>
          </w14:textFill>
        </w:rPr>
        <w:t>；</w:t>
      </w:r>
    </w:p>
    <w:p>
      <w:pPr>
        <w:snapToGrid w:val="0"/>
        <w:spacing w:line="360" w:lineRule="auto"/>
        <w:ind w:firstLine="560" w:firstLineChars="200"/>
        <w:jc w:val="left"/>
        <w:rPr>
          <w:rFonts w:ascii="仿宋_GB2312" w:hAnsi="宋体" w:eastAsia="仿宋_GB2312"/>
          <w:color w:val="000000" w:themeColor="text1"/>
          <w:sz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6</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投标</w:t>
      </w:r>
      <w:r>
        <w:rPr>
          <w:rFonts w:ascii="仿宋" w:hAnsi="仿宋" w:eastAsia="仿宋" w:cs="宋体"/>
          <w:color w:val="000000" w:themeColor="text1"/>
          <w:kern w:val="0"/>
          <w:sz w:val="28"/>
          <w:szCs w:val="28"/>
          <w14:textFill>
            <w14:solidFill>
              <w14:schemeClr w14:val="tx1"/>
            </w14:solidFill>
          </w14:textFill>
        </w:rPr>
        <w:t>应为增值税一般纳税人，应开具增值税专用发票，不得代开增值税发票。</w:t>
      </w:r>
    </w:p>
    <w:p>
      <w:pPr>
        <w:snapToGrid w:val="0"/>
        <w:spacing w:line="360" w:lineRule="auto"/>
        <w:ind w:firstLine="560" w:firstLineChars="200"/>
        <w:jc w:val="left"/>
        <w:rPr>
          <w:rFonts w:ascii="仿宋_GB2312" w:hAnsi="宋体" w:eastAsia="仿宋_GB2312"/>
          <w:color w:val="000000" w:themeColor="text1"/>
          <w:sz w:val="28"/>
          <w:shd w:val="pct10" w:color="auto" w:fill="FFFFFF"/>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7、符合条件需报名的投标人，请在投标截止前五日在昆山农商银行采购管理平台(https://zbcgzx.ksrcb.com:30018/)上完成注册。</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（四）投标费用</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投标人应自行承担与参加投标有关的全部费用，招标人在任何情况下无义务和责任承担上述费用。</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（五）投标保证金</w:t>
      </w:r>
    </w:p>
    <w:p>
      <w:pPr>
        <w:snapToGrid w:val="0"/>
        <w:spacing w:line="360" w:lineRule="auto"/>
        <w:ind w:firstLine="700" w:firstLineChars="250"/>
        <w:rPr>
          <w:rFonts w:ascii="仿宋_GB2312" w:hAnsi="仿宋" w:eastAsia="仿宋_GB2312"/>
          <w:color w:val="000000" w:themeColor="text1"/>
          <w:sz w:val="28"/>
          <w14:textFill>
            <w14:solidFill>
              <w14:schemeClr w14:val="tx1"/>
            </w14:solidFill>
          </w14:textFill>
        </w:rPr>
      </w:pPr>
      <w:r>
        <w:rPr>
          <w:rFonts w:hint="eastAsia" w:ascii="仿宋_GB2312" w:hAnsi="仿宋" w:eastAsia="仿宋_GB2312"/>
          <w:color w:val="000000" w:themeColor="text1"/>
          <w:sz w:val="28"/>
          <w14:textFill>
            <w14:solidFill>
              <w14:schemeClr w14:val="tx1"/>
            </w14:solidFill>
          </w14:textFill>
        </w:rPr>
        <w:t>1、项目投标保证金信息</w:t>
      </w:r>
    </w:p>
    <w:p>
      <w:pPr>
        <w:snapToGrid w:val="0"/>
        <w:spacing w:line="360" w:lineRule="auto"/>
        <w:ind w:firstLine="840" w:firstLineChars="300"/>
        <w:rPr>
          <w:rFonts w:ascii="仿宋_GB2312" w:hAnsi="宋体" w:eastAsia="仿宋_GB2312"/>
          <w:color w:val="000000" w:themeColor="text1"/>
          <w:sz w:val="28"/>
          <w14:textFill>
            <w14:solidFill>
              <w14:schemeClr w14:val="tx1"/>
            </w14:solidFill>
          </w14:textFill>
        </w:rPr>
      </w:pPr>
      <w:r>
        <w:rPr>
          <w:rFonts w:hint="eastAsia" w:ascii="仿宋_GB2312" w:hAnsi="仿宋" w:eastAsia="仿宋_GB2312"/>
          <w:color w:val="000000" w:themeColor="text1"/>
          <w:sz w:val="28"/>
          <w14:textFill>
            <w14:solidFill>
              <w14:schemeClr w14:val="tx1"/>
            </w14:solidFill>
          </w14:textFill>
        </w:rPr>
        <w:t>□</w:t>
      </w:r>
      <w:r>
        <w:rPr>
          <w:rFonts w:hint="eastAsia" w:ascii="仿宋_GB2312" w:hAnsi="宋体" w:eastAsia="仿宋_GB2312"/>
          <w:color w:val="000000" w:themeColor="text1"/>
          <w:sz w:val="28"/>
          <w14:textFill>
            <w14:solidFill>
              <w14:schemeClr w14:val="tx1"/>
            </w14:solidFill>
          </w14:textFill>
        </w:rPr>
        <w:t>有</w:t>
      </w:r>
      <w:r>
        <w:rPr>
          <w:rFonts w:hint="eastAsia" w:ascii="仿宋_GB2312" w:hAnsi="仿宋" w:eastAsia="仿宋_GB2312"/>
          <w:color w:val="000000" w:themeColor="text1"/>
          <w:sz w:val="28"/>
          <w14:textFill>
            <w14:solidFill>
              <w14:schemeClr w14:val="tx1"/>
            </w14:solidFill>
          </w14:textFill>
        </w:rPr>
        <w:t>投标</w:t>
      </w:r>
      <w:r>
        <w:rPr>
          <w:rFonts w:hint="eastAsia" w:ascii="仿宋_GB2312" w:hAnsi="宋体" w:eastAsia="仿宋_GB2312"/>
          <w:color w:val="000000" w:themeColor="text1"/>
          <w:sz w:val="28"/>
          <w14:textFill>
            <w14:solidFill>
              <w14:schemeClr w14:val="tx1"/>
            </w14:solidFill>
          </w14:textFill>
        </w:rPr>
        <w:t xml:space="preserve">保证金          </w:t>
      </w:r>
      <w:r>
        <w:rPr>
          <w:rFonts w:hint="eastAsia" w:ascii="仿宋_GB2312" w:hAnsi="仿宋" w:eastAsia="仿宋_GB2312"/>
          <w:color w:val="000000" w:themeColor="text1"/>
          <w:sz w:val="28"/>
          <w14:textFill>
            <w14:solidFill>
              <w14:schemeClr w14:val="tx1"/>
            </w14:solidFill>
          </w14:textFill>
        </w:rPr>
        <w:sym w:font="Wingdings 2" w:char="0052"/>
      </w:r>
      <w:r>
        <w:rPr>
          <w:rFonts w:hint="eastAsia" w:ascii="仿宋_GB2312" w:hAnsi="宋体" w:eastAsia="仿宋_GB2312"/>
          <w:color w:val="000000" w:themeColor="text1"/>
          <w:sz w:val="28"/>
          <w14:textFill>
            <w14:solidFill>
              <w14:schemeClr w14:val="tx1"/>
            </w14:solidFill>
          </w14:textFill>
        </w:rPr>
        <w:t>无</w:t>
      </w:r>
      <w:r>
        <w:rPr>
          <w:rFonts w:hint="eastAsia" w:ascii="仿宋_GB2312" w:hAnsi="仿宋" w:eastAsia="仿宋_GB2312"/>
          <w:color w:val="000000" w:themeColor="text1"/>
          <w:sz w:val="28"/>
          <w14:textFill>
            <w14:solidFill>
              <w14:schemeClr w14:val="tx1"/>
            </w14:solidFill>
          </w14:textFill>
        </w:rPr>
        <w:t>投标</w:t>
      </w:r>
      <w:r>
        <w:rPr>
          <w:rFonts w:hint="eastAsia" w:ascii="仿宋_GB2312" w:hAnsi="宋体" w:eastAsia="仿宋_GB2312"/>
          <w:color w:val="000000" w:themeColor="text1"/>
          <w:sz w:val="28"/>
          <w14:textFill>
            <w14:solidFill>
              <w14:schemeClr w14:val="tx1"/>
            </w14:solidFill>
          </w14:textFill>
        </w:rPr>
        <w:t xml:space="preserve">保证金           </w:t>
      </w:r>
    </w:p>
    <w:p>
      <w:pPr>
        <w:snapToGrid w:val="0"/>
        <w:spacing w:line="360" w:lineRule="auto"/>
        <w:ind w:firstLine="840" w:firstLineChars="300"/>
        <w:rPr>
          <w:rFonts w:ascii="仿宋_GB2312" w:hAnsi="宋体" w:eastAsia="仿宋_GB2312"/>
          <w:color w:val="000000" w:themeColor="text1"/>
          <w:sz w:val="28"/>
          <w:u w:val="single"/>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投标保证金金额（小写）：</w:t>
      </w:r>
      <w:r>
        <w:rPr>
          <w:rFonts w:hint="eastAsia" w:ascii="仿宋_GB2312" w:hAnsi="宋体" w:eastAsia="仿宋_GB2312"/>
          <w:color w:val="000000" w:themeColor="text1"/>
          <w:sz w:val="28"/>
          <w:u w:val="single"/>
          <w14:textFill>
            <w14:solidFill>
              <w14:schemeClr w14:val="tx1"/>
            </w14:solidFill>
          </w14:textFill>
        </w:rPr>
        <w:t xml:space="preserve">                              </w:t>
      </w:r>
    </w:p>
    <w:p>
      <w:pPr>
        <w:snapToGrid w:val="0"/>
        <w:spacing w:line="360" w:lineRule="auto"/>
        <w:ind w:firstLine="840" w:firstLineChars="300"/>
        <w:rPr>
          <w:rFonts w:ascii="仿宋_GB2312" w:hAnsi="宋体" w:eastAsia="仿宋_GB2312"/>
          <w:color w:val="000000" w:themeColor="text1"/>
          <w:sz w:val="28"/>
          <w:u w:val="single"/>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 xml:space="preserve">              （大写）：</w:t>
      </w:r>
      <w:r>
        <w:rPr>
          <w:rFonts w:hint="eastAsia" w:ascii="仿宋_GB2312" w:hAnsi="宋体" w:eastAsia="仿宋_GB2312"/>
          <w:color w:val="000000" w:themeColor="text1"/>
          <w:sz w:val="28"/>
          <w:u w:val="single"/>
          <w14:textFill>
            <w14:solidFill>
              <w14:schemeClr w14:val="tx1"/>
            </w14:solidFill>
          </w14:textFill>
        </w:rPr>
        <w:t xml:space="preserve">                              </w:t>
      </w:r>
    </w:p>
    <w:p>
      <w:pPr>
        <w:snapToGrid w:val="0"/>
        <w:spacing w:line="360" w:lineRule="auto"/>
        <w:ind w:firstLine="840" w:firstLineChars="3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户名：昆山农商银行投标保证金专户</w:t>
      </w:r>
    </w:p>
    <w:p>
      <w:pPr>
        <w:snapToGrid w:val="0"/>
        <w:spacing w:line="360" w:lineRule="auto"/>
        <w:ind w:firstLine="840" w:firstLineChars="3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账号：3052252018224116010001</w:t>
      </w:r>
    </w:p>
    <w:p>
      <w:pPr>
        <w:snapToGrid w:val="0"/>
        <w:spacing w:line="360" w:lineRule="auto"/>
        <w:ind w:firstLine="840" w:firstLineChars="3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开户行名称：昆山农村商业银行营业部</w:t>
      </w:r>
    </w:p>
    <w:p>
      <w:pPr>
        <w:snapToGrid w:val="0"/>
        <w:spacing w:line="360" w:lineRule="auto"/>
        <w:ind w:firstLine="840" w:firstLineChars="3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行号：314305206650</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2、投标保证金的缴纳</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w:t>
      </w:r>
      <w:r>
        <w:rPr>
          <w:rFonts w:ascii="仿宋_GB2312" w:hAnsi="宋体" w:eastAsia="仿宋_GB2312"/>
          <w:color w:val="000000" w:themeColor="text1"/>
          <w:sz w:val="28"/>
          <w14:textFill>
            <w14:solidFill>
              <w14:schemeClr w14:val="tx1"/>
            </w14:solidFill>
          </w14:textFill>
        </w:rPr>
        <w:t>1</w:t>
      </w:r>
      <w:r>
        <w:rPr>
          <w:rFonts w:hint="eastAsia" w:ascii="仿宋_GB2312" w:hAnsi="宋体" w:eastAsia="仿宋_GB2312"/>
          <w:color w:val="000000" w:themeColor="text1"/>
          <w:sz w:val="28"/>
          <w14:textFill>
            <w14:solidFill>
              <w14:schemeClr w14:val="tx1"/>
            </w14:solidFill>
          </w14:textFill>
        </w:rPr>
        <w:t>）投标人应在投标前通过我行指定账户足额缴纳投标保证金，投标人缴纳投标保证金后，及时将回执单电子档发招标人邮箱，以便招标人审核，招标人邮箱：</w:t>
      </w:r>
      <w:r>
        <w:fldChar w:fldCharType="begin"/>
      </w:r>
      <w:r>
        <w:instrText xml:space="preserve"> HYPERLINK "mailto:zbcgzx@ksrcb.com" </w:instrText>
      </w:r>
      <w:r>
        <w:fldChar w:fldCharType="separate"/>
      </w:r>
      <w:r>
        <w:rPr>
          <w:rStyle w:val="15"/>
          <w:rFonts w:ascii="仿宋_GB2312" w:hAnsi="宋体" w:eastAsia="仿宋_GB2312"/>
          <w:color w:val="000000" w:themeColor="text1"/>
          <w:sz w:val="28"/>
          <w14:textFill>
            <w14:solidFill>
              <w14:schemeClr w14:val="tx1"/>
            </w14:solidFill>
          </w14:textFill>
        </w:rPr>
        <w:t>zbcgzx@ksrcb.com</w:t>
      </w:r>
      <w:r>
        <w:rPr>
          <w:rStyle w:val="15"/>
          <w:rFonts w:ascii="仿宋_GB2312" w:hAnsi="宋体" w:eastAsia="仿宋_GB2312"/>
          <w:color w:val="000000" w:themeColor="text1"/>
          <w:sz w:val="28"/>
          <w14:textFill>
            <w14:solidFill>
              <w14:schemeClr w14:val="tx1"/>
            </w14:solidFill>
          </w14:textFill>
        </w:rPr>
        <w:fldChar w:fldCharType="end"/>
      </w:r>
      <w:r>
        <w:rPr>
          <w:rFonts w:ascii="仿宋_GB2312" w:hAnsi="宋体" w:eastAsia="仿宋_GB2312"/>
          <w:color w:val="000000" w:themeColor="text1"/>
          <w:sz w:val="28"/>
          <w14:textFill>
            <w14:solidFill>
              <w14:schemeClr w14:val="tx1"/>
            </w14:solidFill>
          </w14:textFill>
        </w:rPr>
        <w:t>，</w:t>
      </w:r>
      <w:r>
        <w:rPr>
          <w:rFonts w:hint="eastAsia" w:ascii="仿宋_GB2312" w:hAnsi="宋体" w:eastAsia="仿宋_GB2312"/>
          <w:color w:val="000000" w:themeColor="text1"/>
          <w:sz w:val="28"/>
          <w14:textFill>
            <w14:solidFill>
              <w14:schemeClr w14:val="tx1"/>
            </w14:solidFill>
          </w14:textFill>
        </w:rPr>
        <w:t>并将该转账凭证单独密封后寄（送）至集中采购中心；</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w:t>
      </w:r>
      <w:r>
        <w:rPr>
          <w:rFonts w:ascii="仿宋_GB2312" w:hAnsi="宋体" w:eastAsia="仿宋_GB2312"/>
          <w:color w:val="000000" w:themeColor="text1"/>
          <w:sz w:val="28"/>
          <w14:textFill>
            <w14:solidFill>
              <w14:schemeClr w14:val="tx1"/>
            </w14:solidFill>
          </w14:textFill>
        </w:rPr>
        <w:t>2</w:t>
      </w:r>
      <w:r>
        <w:rPr>
          <w:rFonts w:hint="eastAsia" w:ascii="仿宋_GB2312" w:hAnsi="宋体" w:eastAsia="仿宋_GB2312"/>
          <w:color w:val="000000" w:themeColor="text1"/>
          <w:sz w:val="28"/>
          <w14:textFill>
            <w14:solidFill>
              <w14:schemeClr w14:val="tx1"/>
            </w14:solidFill>
          </w14:textFill>
        </w:rPr>
        <w:t>）投标保证金需以投标人名义采用银行转账或汇款等方式缴纳，不接受现金或个人账户缴纳保证金。</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w:t>
      </w:r>
      <w:r>
        <w:rPr>
          <w:rFonts w:ascii="仿宋_GB2312" w:hAnsi="宋体" w:eastAsia="仿宋_GB2312"/>
          <w:color w:val="000000" w:themeColor="text1"/>
          <w:sz w:val="28"/>
          <w14:textFill>
            <w14:solidFill>
              <w14:schemeClr w14:val="tx1"/>
            </w14:solidFill>
          </w14:textFill>
        </w:rPr>
        <w:t>3</w:t>
      </w:r>
      <w:r>
        <w:rPr>
          <w:rFonts w:hint="eastAsia" w:ascii="仿宋_GB2312" w:hAnsi="宋体" w:eastAsia="仿宋_GB2312"/>
          <w:color w:val="000000" w:themeColor="text1"/>
          <w:sz w:val="28"/>
          <w14:textFill>
            <w14:solidFill>
              <w14:schemeClr w14:val="tx1"/>
            </w14:solidFill>
          </w14:textFill>
        </w:rPr>
        <w:t>）投标人在缴纳投标保证金时，需在进帐凭证上注明项目编号和名称。</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（4</w:t>
      </w:r>
      <w:r>
        <w:rPr>
          <w:rFonts w:hint="eastAsia" w:ascii="仿宋_GB2312" w:hAnsi="宋体" w:eastAsia="仿宋_GB2312"/>
          <w:color w:val="000000" w:themeColor="text1"/>
          <w:sz w:val="28"/>
          <w14:textFill>
            <w14:solidFill>
              <w14:schemeClr w14:val="tx1"/>
            </w14:solidFill>
          </w14:textFill>
        </w:rPr>
        <w:t>）凡出现投标保证金未到位或未足额缴纳等与招标文件要求不一致的情况，均自动取消投标人参加该项目的投标资格；</w:t>
      </w:r>
    </w:p>
    <w:p>
      <w:pPr>
        <w:snapToGrid w:val="0"/>
        <w:spacing w:line="360" w:lineRule="auto"/>
        <w:ind w:firstLine="700" w:firstLineChars="250"/>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3</w:t>
      </w:r>
      <w:r>
        <w:rPr>
          <w:rFonts w:hint="eastAsia" w:ascii="仿宋_GB2312" w:hAnsi="宋体" w:eastAsia="仿宋_GB2312"/>
          <w:color w:val="000000" w:themeColor="text1"/>
          <w:sz w:val="28"/>
          <w14:textFill>
            <w14:solidFill>
              <w14:schemeClr w14:val="tx1"/>
            </w14:solidFill>
          </w14:textFill>
        </w:rPr>
        <w:t>、投标保证金的扣划</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投标过程中发生以下情形时，予以投标保证金的扣划，并按相关规定处理：</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（1）投标人在有效期内发生随意撤回、撤销投标行为的；</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w:t>
      </w:r>
      <w:r>
        <w:rPr>
          <w:rFonts w:hint="eastAsia" w:ascii="仿宋_GB2312" w:hAnsi="宋体" w:eastAsia="仿宋_GB2312"/>
          <w:color w:val="000000" w:themeColor="text1"/>
          <w:sz w:val="28"/>
          <w14:textFill>
            <w14:solidFill>
              <w14:schemeClr w14:val="tx1"/>
            </w14:solidFill>
          </w14:textFill>
        </w:rPr>
        <w:t>2）投标人中标后无正当理由拒签合同的；</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w:t>
      </w:r>
      <w:r>
        <w:rPr>
          <w:rFonts w:hint="eastAsia" w:ascii="仿宋_GB2312" w:hAnsi="宋体" w:eastAsia="仿宋_GB2312"/>
          <w:color w:val="000000" w:themeColor="text1"/>
          <w:sz w:val="28"/>
          <w14:textFill>
            <w14:solidFill>
              <w14:schemeClr w14:val="tx1"/>
            </w14:solidFill>
          </w14:textFill>
        </w:rPr>
        <w:t>3）投标人中标后未按招标人要求足额缴纳履约保证金的；</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w:t>
      </w:r>
      <w:r>
        <w:rPr>
          <w:rFonts w:hint="eastAsia" w:ascii="仿宋_GB2312" w:hAnsi="宋体" w:eastAsia="仿宋_GB2312"/>
          <w:color w:val="000000" w:themeColor="text1"/>
          <w:sz w:val="28"/>
          <w14:textFill>
            <w14:solidFill>
              <w14:schemeClr w14:val="tx1"/>
            </w14:solidFill>
          </w14:textFill>
        </w:rPr>
        <w:t>4）其他违法违规行为，经查实情况属实的；</w:t>
      </w:r>
    </w:p>
    <w:p>
      <w:pPr>
        <w:snapToGrid w:val="0"/>
        <w:spacing w:line="360" w:lineRule="auto"/>
        <w:ind w:firstLine="570"/>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4</w:t>
      </w:r>
      <w:r>
        <w:rPr>
          <w:rFonts w:hint="eastAsia" w:ascii="仿宋_GB2312" w:hAnsi="宋体" w:eastAsia="仿宋_GB2312"/>
          <w:color w:val="000000" w:themeColor="text1"/>
          <w:sz w:val="28"/>
          <w14:textFill>
            <w14:solidFill>
              <w14:schemeClr w14:val="tx1"/>
            </w14:solidFill>
          </w14:textFill>
        </w:rPr>
        <w:t>、投标保证金的退还</w:t>
      </w:r>
    </w:p>
    <w:p>
      <w:pPr>
        <w:snapToGrid w:val="0"/>
        <w:spacing w:line="360" w:lineRule="auto"/>
        <w:ind w:firstLine="57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（1）招标人如有需要要求中标方缴纳履约保证金的，投标人中标后，在中标人与招标人签订正式合同后，投标人投标保证金转入其履约保证金账户；如投标人中标后投标保证金</w:t>
      </w:r>
      <w:r>
        <w:rPr>
          <w:rFonts w:ascii="仿宋_GB2312" w:hAnsi="宋体" w:eastAsia="仿宋_GB2312"/>
          <w:color w:val="000000" w:themeColor="text1"/>
          <w:sz w:val="28"/>
          <w14:textFill>
            <w14:solidFill>
              <w14:schemeClr w14:val="tx1"/>
            </w14:solidFill>
          </w14:textFill>
        </w:rPr>
        <w:t>不</w:t>
      </w:r>
      <w:r>
        <w:rPr>
          <w:rFonts w:hint="eastAsia" w:ascii="仿宋_GB2312" w:hAnsi="宋体" w:eastAsia="仿宋_GB2312"/>
          <w:color w:val="000000" w:themeColor="text1"/>
          <w:sz w:val="28"/>
          <w14:textFill>
            <w14:solidFill>
              <w14:schemeClr w14:val="tx1"/>
            </w14:solidFill>
          </w14:textFill>
        </w:rPr>
        <w:t>转入其履约保证金账户的，请投标人在投标时书面申明。</w:t>
      </w:r>
    </w:p>
    <w:p>
      <w:pPr>
        <w:snapToGrid w:val="0"/>
        <w:spacing w:line="360" w:lineRule="auto"/>
        <w:ind w:firstLine="57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（2）投标人未中标，招标人按照“资金从哪里来，原样回那里去”的原则退还投标人投标保证金。</w:t>
      </w:r>
    </w:p>
    <w:p>
      <w:pPr>
        <w:snapToGrid w:val="0"/>
        <w:spacing w:line="360" w:lineRule="auto"/>
        <w:ind w:firstLine="57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（3）投标保证金不计息。</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（六）履约保证金</w:t>
      </w:r>
    </w:p>
    <w:p>
      <w:pPr>
        <w:snapToGrid w:val="0"/>
        <w:spacing w:line="360" w:lineRule="auto"/>
        <w:ind w:firstLine="700" w:firstLineChars="250"/>
        <w:rPr>
          <w:rFonts w:ascii="仿宋_GB2312" w:hAnsi="仿宋" w:eastAsia="仿宋_GB2312"/>
          <w:color w:val="000000" w:themeColor="text1"/>
          <w:sz w:val="28"/>
          <w14:textFill>
            <w14:solidFill>
              <w14:schemeClr w14:val="tx1"/>
            </w14:solidFill>
          </w14:textFill>
        </w:rPr>
      </w:pPr>
      <w:r>
        <w:rPr>
          <w:rFonts w:hint="eastAsia" w:ascii="仿宋_GB2312" w:hAnsi="仿宋" w:eastAsia="仿宋_GB2312"/>
          <w:color w:val="000000" w:themeColor="text1"/>
          <w:sz w:val="28"/>
          <w14:textFill>
            <w14:solidFill>
              <w14:schemeClr w14:val="tx1"/>
            </w14:solidFill>
          </w14:textFill>
        </w:rPr>
        <w:t>1、项目履约保证金信息</w:t>
      </w:r>
    </w:p>
    <w:p>
      <w:pPr>
        <w:snapToGrid w:val="0"/>
        <w:spacing w:line="360" w:lineRule="auto"/>
        <w:ind w:firstLine="840" w:firstLineChars="300"/>
        <w:rPr>
          <w:rFonts w:ascii="仿宋_GB2312" w:hAnsi="宋体" w:eastAsia="仿宋_GB2312"/>
          <w:color w:val="000000" w:themeColor="text1"/>
          <w:sz w:val="28"/>
          <w14:textFill>
            <w14:solidFill>
              <w14:schemeClr w14:val="tx1"/>
            </w14:solidFill>
          </w14:textFill>
        </w:rPr>
      </w:pPr>
      <w:r>
        <w:rPr>
          <w:rFonts w:hint="eastAsia" w:ascii="仿宋_GB2312" w:hAnsi="仿宋" w:eastAsia="仿宋_GB2312"/>
          <w:color w:val="000000" w:themeColor="text1"/>
          <w:sz w:val="28"/>
          <w14:textFill>
            <w14:solidFill>
              <w14:schemeClr w14:val="tx1"/>
            </w14:solidFill>
          </w14:textFill>
        </w:rPr>
        <w:t>□</w:t>
      </w:r>
      <w:r>
        <w:rPr>
          <w:rFonts w:hint="eastAsia" w:ascii="仿宋_GB2312" w:hAnsi="宋体" w:eastAsia="仿宋_GB2312"/>
          <w:color w:val="000000" w:themeColor="text1"/>
          <w:sz w:val="28"/>
          <w14:textFill>
            <w14:solidFill>
              <w14:schemeClr w14:val="tx1"/>
            </w14:solidFill>
          </w14:textFill>
        </w:rPr>
        <w:t>有</w:t>
      </w:r>
      <w:r>
        <w:rPr>
          <w:rFonts w:hint="eastAsia" w:ascii="仿宋_GB2312" w:hAnsi="仿宋" w:eastAsia="仿宋_GB2312"/>
          <w:color w:val="000000" w:themeColor="text1"/>
          <w:sz w:val="28"/>
          <w14:textFill>
            <w14:solidFill>
              <w14:schemeClr w14:val="tx1"/>
            </w14:solidFill>
          </w14:textFill>
        </w:rPr>
        <w:t>履约</w:t>
      </w:r>
      <w:r>
        <w:rPr>
          <w:rFonts w:hint="eastAsia" w:ascii="仿宋_GB2312" w:hAnsi="宋体" w:eastAsia="仿宋_GB2312"/>
          <w:color w:val="000000" w:themeColor="text1"/>
          <w:sz w:val="28"/>
          <w14:textFill>
            <w14:solidFill>
              <w14:schemeClr w14:val="tx1"/>
            </w14:solidFill>
          </w14:textFill>
        </w:rPr>
        <w:t xml:space="preserve">保证金           </w:t>
      </w:r>
      <w:r>
        <w:rPr>
          <w:rFonts w:hint="eastAsia" w:ascii="仿宋_GB2312" w:hAnsi="仿宋" w:eastAsia="仿宋_GB2312"/>
          <w:color w:val="000000" w:themeColor="text1"/>
          <w:sz w:val="28"/>
          <w14:textFill>
            <w14:solidFill>
              <w14:schemeClr w14:val="tx1"/>
            </w14:solidFill>
          </w14:textFill>
        </w:rPr>
        <w:sym w:font="Wingdings 2" w:char="0052"/>
      </w:r>
      <w:r>
        <w:rPr>
          <w:rFonts w:hint="eastAsia" w:ascii="仿宋_GB2312" w:hAnsi="宋体" w:eastAsia="仿宋_GB2312"/>
          <w:color w:val="000000" w:themeColor="text1"/>
          <w:sz w:val="28"/>
          <w14:textFill>
            <w14:solidFill>
              <w14:schemeClr w14:val="tx1"/>
            </w14:solidFill>
          </w14:textFill>
        </w:rPr>
        <w:t>无</w:t>
      </w:r>
      <w:r>
        <w:rPr>
          <w:rFonts w:hint="eastAsia" w:ascii="仿宋_GB2312" w:hAnsi="仿宋" w:eastAsia="仿宋_GB2312"/>
          <w:color w:val="000000" w:themeColor="text1"/>
          <w:sz w:val="28"/>
          <w14:textFill>
            <w14:solidFill>
              <w14:schemeClr w14:val="tx1"/>
            </w14:solidFill>
          </w14:textFill>
        </w:rPr>
        <w:t>履约</w:t>
      </w:r>
      <w:r>
        <w:rPr>
          <w:rFonts w:hint="eastAsia" w:ascii="仿宋_GB2312" w:hAnsi="宋体" w:eastAsia="仿宋_GB2312"/>
          <w:color w:val="000000" w:themeColor="text1"/>
          <w:sz w:val="28"/>
          <w14:textFill>
            <w14:solidFill>
              <w14:schemeClr w14:val="tx1"/>
            </w14:solidFill>
          </w14:textFill>
        </w:rPr>
        <w:t xml:space="preserve">保证金           </w:t>
      </w:r>
    </w:p>
    <w:p>
      <w:pPr>
        <w:snapToGrid w:val="0"/>
        <w:spacing w:line="360" w:lineRule="auto"/>
        <w:ind w:firstLine="840" w:firstLineChars="3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投标人应在接到中标通知后合同签订前，向招标人指定账户缴纳中标金额的</w:t>
      </w:r>
      <w:r>
        <w:rPr>
          <w:rFonts w:ascii="仿宋_GB2312" w:hAnsi="宋体" w:eastAsia="仿宋_GB2312"/>
          <w:color w:val="000000" w:themeColor="text1"/>
          <w:sz w:val="28"/>
          <w14:textFill>
            <w14:solidFill>
              <w14:schemeClr w14:val="tx1"/>
            </w14:solidFill>
          </w14:textFill>
        </w:rPr>
        <w:t>10</w:t>
      </w:r>
      <w:r>
        <w:rPr>
          <w:rFonts w:hint="eastAsia" w:ascii="仿宋_GB2312" w:hAnsi="宋体" w:eastAsia="仿宋_GB2312"/>
          <w:color w:val="000000" w:themeColor="text1"/>
          <w:sz w:val="28"/>
          <w14:textFill>
            <w14:solidFill>
              <w14:schemeClr w14:val="tx1"/>
            </w14:solidFill>
          </w14:textFill>
        </w:rPr>
        <w:t>%</w:t>
      </w:r>
      <w:r>
        <w:rPr>
          <w:rFonts w:ascii="仿宋_GB2312" w:hAnsi="宋体" w:eastAsia="仿宋_GB2312"/>
          <w:color w:val="000000" w:themeColor="text1"/>
          <w:sz w:val="28"/>
          <w14:textFill>
            <w14:solidFill>
              <w14:schemeClr w14:val="tx1"/>
            </w14:solidFill>
          </w14:textFill>
        </w:rPr>
        <w:t>作为</w:t>
      </w:r>
      <w:r>
        <w:rPr>
          <w:rFonts w:hint="eastAsia" w:ascii="仿宋_GB2312" w:hAnsi="宋体" w:eastAsia="仿宋_GB2312"/>
          <w:color w:val="000000" w:themeColor="text1"/>
          <w:sz w:val="28"/>
          <w14:textFill>
            <w14:solidFill>
              <w14:schemeClr w14:val="tx1"/>
            </w14:solidFill>
          </w14:textFill>
        </w:rPr>
        <w:t>履行合同条款；</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w:t>
      </w:r>
      <w:r>
        <w:rPr>
          <w:rFonts w:hint="eastAsia" w:ascii="仿宋_GB2312" w:hAnsi="仿宋" w:eastAsia="仿宋_GB2312"/>
          <w:color w:val="000000" w:themeColor="text1"/>
          <w:sz w:val="28"/>
          <w14:textFill>
            <w14:solidFill>
              <w14:schemeClr w14:val="tx1"/>
            </w14:solidFill>
          </w14:textFill>
        </w:rPr>
        <w:t>履约</w:t>
      </w:r>
      <w:r>
        <w:rPr>
          <w:rFonts w:hint="eastAsia" w:ascii="仿宋_GB2312" w:hAnsi="宋体" w:eastAsia="仿宋_GB2312"/>
          <w:color w:val="000000" w:themeColor="text1"/>
          <w:sz w:val="28"/>
          <w14:textFill>
            <w14:solidFill>
              <w14:schemeClr w14:val="tx1"/>
            </w14:solidFill>
          </w14:textFill>
        </w:rPr>
        <w:t>保证金的缴纳</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w:t>
      </w:r>
      <w:r>
        <w:rPr>
          <w:rFonts w:hint="eastAsia" w:ascii="仿宋_GB2312" w:hAnsi="仿宋" w:eastAsia="仿宋_GB2312"/>
          <w:color w:val="000000" w:themeColor="text1"/>
          <w:sz w:val="28"/>
          <w14:textFill>
            <w14:solidFill>
              <w14:schemeClr w14:val="tx1"/>
            </w14:solidFill>
          </w14:textFill>
        </w:rPr>
        <w:t>履约</w:t>
      </w:r>
      <w:r>
        <w:rPr>
          <w:rFonts w:hint="eastAsia" w:ascii="仿宋_GB2312" w:hAnsi="宋体" w:eastAsia="仿宋_GB2312"/>
          <w:color w:val="000000" w:themeColor="text1"/>
          <w:sz w:val="28"/>
          <w14:textFill>
            <w14:solidFill>
              <w14:schemeClr w14:val="tx1"/>
            </w14:solidFill>
          </w14:textFill>
        </w:rPr>
        <w:t>保证金需以投标人名义采用银行转账或汇款等方式缴纳，不接受现金或个人账户缴纳保证金。</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（2）投标人在缴纳</w:t>
      </w:r>
      <w:r>
        <w:rPr>
          <w:rFonts w:hint="eastAsia" w:ascii="仿宋_GB2312" w:hAnsi="仿宋" w:eastAsia="仿宋_GB2312"/>
          <w:color w:val="000000" w:themeColor="text1"/>
          <w:sz w:val="28"/>
          <w14:textFill>
            <w14:solidFill>
              <w14:schemeClr w14:val="tx1"/>
            </w14:solidFill>
          </w14:textFill>
        </w:rPr>
        <w:t>履约</w:t>
      </w:r>
      <w:r>
        <w:rPr>
          <w:rFonts w:hint="eastAsia" w:ascii="仿宋_GB2312" w:hAnsi="宋体" w:eastAsia="仿宋_GB2312"/>
          <w:color w:val="000000" w:themeColor="text1"/>
          <w:sz w:val="28"/>
          <w14:textFill>
            <w14:solidFill>
              <w14:schemeClr w14:val="tx1"/>
            </w14:solidFill>
          </w14:textFill>
        </w:rPr>
        <w:t>保证金时，需在进帐凭证上注明投标项目编号和名称。</w:t>
      </w:r>
    </w:p>
    <w:p>
      <w:pPr>
        <w:snapToGrid w:val="0"/>
        <w:spacing w:line="360" w:lineRule="auto"/>
        <w:ind w:firstLine="700" w:firstLineChars="250"/>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3</w:t>
      </w:r>
      <w:r>
        <w:rPr>
          <w:rFonts w:hint="eastAsia" w:ascii="仿宋_GB2312" w:hAnsi="宋体" w:eastAsia="仿宋_GB2312"/>
          <w:color w:val="000000" w:themeColor="text1"/>
          <w:sz w:val="28"/>
          <w14:textFill>
            <w14:solidFill>
              <w14:schemeClr w14:val="tx1"/>
            </w14:solidFill>
          </w14:textFill>
        </w:rPr>
        <w:t>、</w:t>
      </w:r>
      <w:r>
        <w:rPr>
          <w:rFonts w:hint="eastAsia" w:ascii="仿宋_GB2312" w:hAnsi="仿宋" w:eastAsia="仿宋_GB2312"/>
          <w:color w:val="000000" w:themeColor="text1"/>
          <w:sz w:val="28"/>
          <w14:textFill>
            <w14:solidFill>
              <w14:schemeClr w14:val="tx1"/>
            </w14:solidFill>
          </w14:textFill>
        </w:rPr>
        <w:t>履约</w:t>
      </w:r>
      <w:r>
        <w:rPr>
          <w:rFonts w:hint="eastAsia" w:ascii="仿宋_GB2312" w:hAnsi="宋体" w:eastAsia="仿宋_GB2312"/>
          <w:color w:val="000000" w:themeColor="text1"/>
          <w:sz w:val="28"/>
          <w14:textFill>
            <w14:solidFill>
              <w14:schemeClr w14:val="tx1"/>
            </w14:solidFill>
          </w14:textFill>
        </w:rPr>
        <w:t>保证金的扣划</w:t>
      </w:r>
    </w:p>
    <w:p>
      <w:pPr>
        <w:snapToGrid w:val="0"/>
        <w:spacing w:line="360" w:lineRule="auto"/>
        <w:ind w:firstLine="57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当合同执行过程中发生违反合同规定或违约行为时，应扣划投标人缴纳的履约保证金。</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4</w:t>
      </w:r>
      <w:r>
        <w:rPr>
          <w:rFonts w:hint="eastAsia" w:ascii="仿宋_GB2312" w:hAnsi="宋体" w:eastAsia="仿宋_GB2312"/>
          <w:color w:val="000000" w:themeColor="text1"/>
          <w:sz w:val="28"/>
          <w14:textFill>
            <w14:solidFill>
              <w14:schemeClr w14:val="tx1"/>
            </w14:solidFill>
          </w14:textFill>
        </w:rPr>
        <w:t>、</w:t>
      </w:r>
      <w:r>
        <w:rPr>
          <w:rFonts w:hint="eastAsia" w:ascii="仿宋_GB2312" w:hAnsi="仿宋" w:eastAsia="仿宋_GB2312"/>
          <w:color w:val="000000" w:themeColor="text1"/>
          <w:sz w:val="28"/>
          <w14:textFill>
            <w14:solidFill>
              <w14:schemeClr w14:val="tx1"/>
            </w14:solidFill>
          </w14:textFill>
        </w:rPr>
        <w:t>履约</w:t>
      </w:r>
      <w:r>
        <w:rPr>
          <w:rFonts w:hint="eastAsia" w:ascii="仿宋_GB2312" w:hAnsi="宋体" w:eastAsia="仿宋_GB2312"/>
          <w:color w:val="000000" w:themeColor="text1"/>
          <w:sz w:val="28"/>
          <w14:textFill>
            <w14:solidFill>
              <w14:schemeClr w14:val="tx1"/>
            </w14:solidFill>
          </w14:textFill>
        </w:rPr>
        <w:t>保证金的退还</w:t>
      </w:r>
    </w:p>
    <w:p>
      <w:pPr>
        <w:snapToGrid w:val="0"/>
        <w:spacing w:line="360" w:lineRule="auto"/>
        <w:ind w:firstLine="57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（1）项目结项后满足退还标准且资料齐全；</w:t>
      </w:r>
    </w:p>
    <w:p>
      <w:pPr>
        <w:snapToGrid w:val="0"/>
        <w:spacing w:line="360" w:lineRule="auto"/>
        <w:ind w:firstLine="57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w:t>
      </w:r>
      <w:r>
        <w:rPr>
          <w:rFonts w:hint="eastAsia" w:ascii="仿宋_GB2312" w:hAnsi="仿宋" w:eastAsia="仿宋_GB2312"/>
          <w:color w:val="000000" w:themeColor="text1"/>
          <w:sz w:val="28"/>
          <w14:textFill>
            <w14:solidFill>
              <w14:schemeClr w14:val="tx1"/>
            </w14:solidFill>
          </w14:textFill>
        </w:rPr>
        <w:t>履约</w:t>
      </w:r>
      <w:r>
        <w:rPr>
          <w:rFonts w:hint="eastAsia" w:ascii="仿宋_GB2312" w:hAnsi="宋体" w:eastAsia="仿宋_GB2312"/>
          <w:color w:val="000000" w:themeColor="text1"/>
          <w:sz w:val="28"/>
          <w14:textFill>
            <w14:solidFill>
              <w14:schemeClr w14:val="tx1"/>
            </w14:solidFill>
          </w14:textFill>
        </w:rPr>
        <w:t>保证金不计息。</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（七）招标文件的解释及咨询</w:t>
      </w:r>
    </w:p>
    <w:p>
      <w:pPr>
        <w:snapToGrid w:val="0"/>
        <w:spacing w:line="360" w:lineRule="auto"/>
        <w:ind w:firstLine="840" w:firstLineChars="3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本招标文件的解释权属招标人，对本次招标有任何询问，请与昆山农商银行本次招标联系人联系。</w:t>
      </w:r>
    </w:p>
    <w:p>
      <w:pPr>
        <w:pStyle w:val="4"/>
        <w:keepNext w:val="0"/>
        <w:keepLines w:val="0"/>
        <w:snapToGrid w:val="0"/>
        <w:spacing w:before="0" w:after="0"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二、招标文件说明</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（一）是否限价招标</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w:t>
      </w:r>
      <w:r>
        <w:rPr>
          <w:rFonts w:ascii="仿宋_GB2312" w:hAnsi="宋体" w:eastAsia="仿宋_GB2312"/>
          <w:color w:val="000000" w:themeColor="text1"/>
          <w:sz w:val="28"/>
          <w14:textFill>
            <w14:solidFill>
              <w14:schemeClr w14:val="tx1"/>
            </w14:solidFill>
          </w14:textFill>
        </w:rPr>
        <w:t xml:space="preserve"> 是        最高限价</w:t>
      </w:r>
      <w:r>
        <w:rPr>
          <w:rFonts w:ascii="仿宋_GB2312" w:hAnsi="宋体" w:eastAsia="仿宋_GB2312"/>
          <w:color w:val="000000" w:themeColor="text1"/>
          <w:sz w:val="28"/>
          <w:u w:val="single"/>
          <w14:textFill>
            <w14:solidFill>
              <w14:schemeClr w14:val="tx1"/>
            </w14:solidFill>
          </w14:textFill>
        </w:rPr>
        <w:t xml:space="preserve">           </w:t>
      </w:r>
      <w:r>
        <w:rPr>
          <w:rFonts w:hint="eastAsia" w:ascii="仿宋_GB2312" w:hAnsi="宋体" w:eastAsia="仿宋_GB2312"/>
          <w:color w:val="000000" w:themeColor="text1"/>
          <w:sz w:val="28"/>
          <w14:textFill>
            <w14:solidFill>
              <w14:schemeClr w14:val="tx1"/>
            </w14:solidFill>
          </w14:textFill>
        </w:rPr>
        <w:t>（元）</w:t>
      </w:r>
      <w:r>
        <w:rPr>
          <w:rFonts w:ascii="仿宋_GB2312" w:hAnsi="宋体" w:eastAsia="仿宋_GB2312"/>
          <w:color w:val="000000" w:themeColor="text1"/>
          <w:sz w:val="28"/>
          <w14:textFill>
            <w14:solidFill>
              <w14:schemeClr w14:val="tx1"/>
            </w14:solidFill>
          </w14:textFill>
        </w:rPr>
        <w:t xml:space="preserve">          </w:t>
      </w:r>
      <w:r>
        <w:rPr>
          <w:rFonts w:hint="eastAsia" w:ascii="仿宋_GB2312" w:hAnsi="仿宋" w:eastAsia="仿宋_GB2312"/>
          <w:color w:val="000000" w:themeColor="text1"/>
          <w:sz w:val="28"/>
          <w14:textFill>
            <w14:solidFill>
              <w14:schemeClr w14:val="tx1"/>
            </w14:solidFill>
          </w14:textFill>
        </w:rPr>
        <w:sym w:font="Wingdings 2" w:char="0052"/>
      </w:r>
      <w:r>
        <w:rPr>
          <w:rFonts w:ascii="宋体" w:hAnsi="宋体"/>
          <w:color w:val="000000" w:themeColor="text1"/>
          <w:sz w:val="28"/>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否</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（二）项目实施时间、地点和方式</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snapToGrid w:val="0"/>
          <w:color w:val="000000" w:themeColor="text1"/>
          <w:sz w:val="28"/>
          <w14:textFill>
            <w14:solidFill>
              <w14:schemeClr w14:val="tx1"/>
            </w14:solidFill>
          </w14:textFill>
        </w:rPr>
        <w:t>项目实施时间：合同签订后三个月内</w:t>
      </w:r>
    </w:p>
    <w:p>
      <w:pPr>
        <w:snapToGrid w:val="0"/>
        <w:spacing w:line="360" w:lineRule="auto"/>
        <w:ind w:firstLine="560" w:firstLineChars="200"/>
        <w:rPr>
          <w:rFonts w:ascii="仿宋_GB2312" w:hAnsi="宋体" w:eastAsiaTheme="minorEastAsia"/>
          <w:snapToGrid w:val="0"/>
          <w:color w:val="000000" w:themeColor="text1"/>
          <w:sz w:val="28"/>
          <w14:textFill>
            <w14:solidFill>
              <w14:schemeClr w14:val="tx1"/>
            </w14:solidFill>
          </w14:textFill>
        </w:rPr>
      </w:pPr>
      <w:r>
        <w:rPr>
          <w:rFonts w:hint="eastAsia" w:ascii="仿宋_GB2312" w:hAnsi="宋体" w:eastAsia="仿宋_GB2312"/>
          <w:snapToGrid w:val="0"/>
          <w:color w:val="000000" w:themeColor="text1"/>
          <w:sz w:val="28"/>
          <w14:textFill>
            <w14:solidFill>
              <w14:schemeClr w14:val="tx1"/>
            </w14:solidFill>
          </w14:textFill>
        </w:rPr>
        <w:t>项目实施地点：</w:t>
      </w:r>
      <w:r>
        <w:rPr>
          <w:rFonts w:hint="eastAsia" w:ascii="仿宋_GB2312" w:hAnsi="宋体" w:eastAsia="仿宋_GB2312"/>
          <w:color w:val="000000" w:themeColor="text1"/>
          <w:sz w:val="28"/>
          <w14:textFill>
            <w14:solidFill>
              <w14:schemeClr w14:val="tx1"/>
            </w14:solidFill>
          </w14:textFill>
        </w:rPr>
        <w:t>昆山市</w:t>
      </w:r>
      <w:r>
        <w:rPr>
          <w:rFonts w:ascii="仿宋_GB2312" w:hAnsi="宋体" w:eastAsia="仿宋_GB2312"/>
          <w:color w:val="000000" w:themeColor="text1"/>
          <w:sz w:val="28"/>
          <w14:textFill>
            <w14:solidFill>
              <w14:schemeClr w14:val="tx1"/>
            </w14:solidFill>
          </w14:textFill>
        </w:rPr>
        <w:t>花桥镇商</w:t>
      </w:r>
      <w:r>
        <w:rPr>
          <w:rFonts w:hint="eastAsia" w:ascii="仿宋_GB2312" w:hAnsi="宋体" w:eastAsia="仿宋_GB2312"/>
          <w:color w:val="000000" w:themeColor="text1"/>
          <w:sz w:val="28"/>
          <w14:textFill>
            <w14:solidFill>
              <w14:schemeClr w14:val="tx1"/>
            </w14:solidFill>
          </w14:textFill>
        </w:rPr>
        <w:t>祥</w:t>
      </w:r>
      <w:r>
        <w:rPr>
          <w:rFonts w:ascii="仿宋_GB2312" w:hAnsi="宋体" w:eastAsia="仿宋_GB2312"/>
          <w:color w:val="000000" w:themeColor="text1"/>
          <w:sz w:val="28"/>
          <w14:textFill>
            <w14:solidFill>
              <w14:schemeClr w14:val="tx1"/>
            </w14:solidFill>
          </w14:textFill>
        </w:rPr>
        <w:t>路</w:t>
      </w:r>
      <w:r>
        <w:rPr>
          <w:rFonts w:hint="eastAsia" w:ascii="仿宋_GB2312" w:hAnsi="宋体" w:eastAsia="仿宋_GB2312"/>
          <w:color w:val="000000" w:themeColor="text1"/>
          <w:sz w:val="28"/>
          <w14:textFill>
            <w14:solidFill>
              <w14:schemeClr w14:val="tx1"/>
            </w14:solidFill>
          </w14:textFill>
        </w:rPr>
        <w:t>259号</w:t>
      </w:r>
      <w:r>
        <w:rPr>
          <w:rFonts w:ascii="仿宋_GB2312" w:hAnsi="宋体" w:eastAsia="仿宋_GB2312"/>
          <w:color w:val="000000" w:themeColor="text1"/>
          <w:sz w:val="28"/>
          <w14:textFill>
            <w14:solidFill>
              <w14:schemeClr w14:val="tx1"/>
            </w14:solidFill>
          </w14:textFill>
        </w:rPr>
        <w:t>中城商务广场</w:t>
      </w:r>
      <w:r>
        <w:rPr>
          <w:rFonts w:hint="eastAsia" w:ascii="仿宋_GB2312" w:hAnsi="宋体" w:eastAsia="仿宋_GB2312"/>
          <w:color w:val="000000" w:themeColor="text1"/>
          <w:sz w:val="28"/>
          <w14:textFill>
            <w14:solidFill>
              <w14:schemeClr w14:val="tx1"/>
            </w14:solidFill>
          </w14:textFill>
        </w:rPr>
        <w:t>3号楼</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snapToGrid w:val="0"/>
          <w:color w:val="000000" w:themeColor="text1"/>
          <w:sz w:val="28"/>
          <w14:textFill>
            <w14:solidFill>
              <w14:schemeClr w14:val="tx1"/>
            </w14:solidFill>
          </w14:textFill>
        </w:rPr>
        <w:t>项目实施</w:t>
      </w:r>
      <w:r>
        <w:rPr>
          <w:rFonts w:ascii="仿宋_GB2312" w:hAnsi="宋体" w:eastAsia="仿宋_GB2312"/>
          <w:snapToGrid w:val="0"/>
          <w:color w:val="000000" w:themeColor="text1"/>
          <w:sz w:val="28"/>
          <w14:textFill>
            <w14:solidFill>
              <w14:schemeClr w14:val="tx1"/>
            </w14:solidFill>
          </w14:textFill>
        </w:rPr>
        <w:t>方式：现场实施</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（三）合同款的支付条件、时间和支付方式</w:t>
      </w:r>
    </w:p>
    <w:p>
      <w:pPr>
        <w:pStyle w:val="5"/>
        <w:snapToGrid w:val="0"/>
        <w:spacing w:line="360" w:lineRule="auto"/>
        <w:ind w:firstLine="843" w:firstLineChars="3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标段一</w:t>
      </w:r>
      <w:r>
        <w:rPr>
          <w:rFonts w:hint="eastAsia" w:ascii="仿宋_GB2312" w:hAnsi="宋体" w:eastAsia="仿宋_GB2312"/>
          <w:color w:val="000000" w:themeColor="text1"/>
          <w:sz w:val="28"/>
          <w:szCs w:val="28"/>
          <w14:textFill>
            <w14:solidFill>
              <w14:schemeClr w14:val="tx1"/>
            </w14:solidFill>
          </w14:textFill>
        </w:rPr>
        <w:t>：付款方式：</w:t>
      </w:r>
      <w:r>
        <w:rPr>
          <w:rFonts w:hint="eastAsia" w:ascii="仿宋_GB2312" w:hAnsi="宋体" w:eastAsia="仿宋_GB2312"/>
          <w:color w:val="000000" w:themeColor="text1"/>
          <w:sz w:val="28"/>
          <w14:textFill>
            <w14:solidFill>
              <w14:schemeClr w14:val="tx1"/>
            </w14:solidFill>
          </w14:textFill>
        </w:rPr>
        <w:t>双方签署合同后，项目实施完成并出具相关评估报告及整改建议，且行方确认无误的30个工作日内，按照挖掘的有效漏洞级别*个数*漏洞单价的总金额支付50%，完成复测确认所有漏洞已整改，出具整改复测报告的 30个工作日内，按照挖掘的有效漏洞级别*个数*漏洞单价的总金额支付50%。</w:t>
      </w:r>
    </w:p>
    <w:p>
      <w:pPr>
        <w:pStyle w:val="5"/>
        <w:snapToGrid w:val="0"/>
        <w:spacing w:line="360" w:lineRule="auto"/>
        <w:ind w:firstLine="843" w:firstLineChars="3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标段二</w:t>
      </w:r>
      <w:r>
        <w:rPr>
          <w:rFonts w:hint="eastAsia" w:ascii="仿宋_GB2312" w:hAnsi="宋体" w:eastAsia="仿宋_GB2312"/>
          <w:color w:val="000000" w:themeColor="text1"/>
          <w:sz w:val="28"/>
          <w:szCs w:val="28"/>
          <w14:textFill>
            <w14:solidFill>
              <w14:schemeClr w14:val="tx1"/>
            </w14:solidFill>
          </w14:textFill>
        </w:rPr>
        <w:t>：付款方式：</w:t>
      </w:r>
      <w:r>
        <w:rPr>
          <w:rFonts w:hint="eastAsia" w:ascii="仿宋_GB2312" w:hAnsi="宋体" w:eastAsia="仿宋_GB2312"/>
          <w:color w:val="000000" w:themeColor="text1"/>
          <w:sz w:val="28"/>
          <w14:textFill>
            <w14:solidFill>
              <w14:schemeClr w14:val="tx1"/>
            </w14:solidFill>
          </w14:textFill>
        </w:rPr>
        <w:t>双方签署合同后，项目实施完成并出具相关评估报告及整改建议，且行方确认无误的30个工作日内，按照攻防演练内容达标情况结算金额支付50%。完成复测确认所有漏洞已整改，出具整改复测报告的 30个工作日内，按照攻防演练内容达标情况结算金额支付50%。</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（四）评标方法、评标标准</w:t>
      </w:r>
    </w:p>
    <w:p>
      <w:pPr>
        <w:snapToGrid w:val="0"/>
        <w:spacing w:line="360" w:lineRule="auto"/>
        <w:ind w:firstLine="843" w:firstLineChars="300"/>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标段一：</w:t>
      </w:r>
      <w:r>
        <w:rPr>
          <w:rFonts w:hint="eastAsia" w:ascii="仿宋_GB2312" w:eastAsia="仿宋_GB2312"/>
          <w:b/>
          <w:bCs/>
          <w:color w:val="000000" w:themeColor="text1"/>
          <w:sz w:val="28"/>
          <w:szCs w:val="28"/>
          <w14:textFill>
            <w14:solidFill>
              <w14:schemeClr w14:val="tx1"/>
            </w14:solidFill>
          </w14:textFill>
        </w:rPr>
        <w:t>安全众测服务</w:t>
      </w:r>
    </w:p>
    <w:p>
      <w:pPr>
        <w:snapToGrid w:val="0"/>
        <w:spacing w:line="360" w:lineRule="auto"/>
        <w:ind w:firstLine="840" w:firstLineChars="3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1.综合评分【100分】=商务评分（报价）【50分】＋商务评分（现场）【50分】；</w:t>
      </w:r>
    </w:p>
    <w:p>
      <w:pPr>
        <w:snapToGrid w:val="0"/>
        <w:spacing w:line="360" w:lineRule="auto"/>
        <w:ind w:firstLine="840" w:firstLineChars="3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商务评分（报价）计算规则【50分】：以供应商有效投标单价之和为准，按均值偏离度规则计算。均值偏离度规则是以供应商对三个等级漏洞单价有效报价之和的均值作为评标基准价，报价等于评标基准价得满分50分。报价比评标基准价每低1%，扣0.3分；报价比基准价每高1%，扣0.5分。</w:t>
      </w:r>
    </w:p>
    <w:p>
      <w:pPr>
        <w:snapToGrid w:val="0"/>
        <w:spacing w:line="360" w:lineRule="auto"/>
        <w:ind w:firstLine="840" w:firstLineChars="3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3.商务评分（现场）【50分】计算规则，详见如下：</w:t>
      </w:r>
    </w:p>
    <w:tbl>
      <w:tblPr>
        <w:tblStyle w:val="12"/>
        <w:tblW w:w="4998" w:type="pct"/>
        <w:tblInd w:w="0" w:type="dxa"/>
        <w:tblLayout w:type="autofit"/>
        <w:tblCellMar>
          <w:top w:w="0" w:type="dxa"/>
          <w:left w:w="108" w:type="dxa"/>
          <w:bottom w:w="0" w:type="dxa"/>
          <w:right w:w="108" w:type="dxa"/>
        </w:tblCellMar>
      </w:tblPr>
      <w:tblGrid>
        <w:gridCol w:w="846"/>
        <w:gridCol w:w="738"/>
        <w:gridCol w:w="1979"/>
        <w:gridCol w:w="1280"/>
        <w:gridCol w:w="3012"/>
        <w:gridCol w:w="664"/>
      </w:tblGrid>
      <w:tr>
        <w:tblPrEx>
          <w:tblCellMar>
            <w:top w:w="0" w:type="dxa"/>
            <w:left w:w="108" w:type="dxa"/>
            <w:bottom w:w="0" w:type="dxa"/>
            <w:right w:w="108" w:type="dxa"/>
          </w:tblCellMar>
        </w:tblPrEx>
        <w:trPr>
          <w:trHeight w:val="27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kern w:val="0"/>
                <w:sz w:val="20"/>
                <w:lang w:bidi="ar"/>
                <w14:textFill>
                  <w14:solidFill>
                    <w14:schemeClr w14:val="tx1"/>
                  </w14:solidFill>
                </w14:textFill>
              </w:rPr>
              <w:t>分类</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kern w:val="0"/>
                <w:sz w:val="20"/>
                <w:lang w:bidi="ar"/>
                <w14:textFill>
                  <w14:solidFill>
                    <w14:schemeClr w14:val="tx1"/>
                  </w14:solidFill>
                </w14:textFill>
              </w:rPr>
              <w:t>序号</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kern w:val="0"/>
                <w:sz w:val="20"/>
                <w:lang w:bidi="ar"/>
                <w14:textFill>
                  <w14:solidFill>
                    <w14:schemeClr w14:val="tx1"/>
                  </w14:solidFill>
                </w14:textFill>
              </w:rPr>
              <w:t>子项</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kern w:val="0"/>
                <w:sz w:val="20"/>
                <w:lang w:bidi="ar"/>
                <w14:textFill>
                  <w14:solidFill>
                    <w14:schemeClr w14:val="tx1"/>
                  </w14:solidFill>
                </w14:textFill>
              </w:rPr>
              <w:t>展现方式</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kern w:val="0"/>
                <w:sz w:val="20"/>
                <w:lang w:bidi="ar"/>
                <w14:textFill>
                  <w14:solidFill>
                    <w14:schemeClr w14:val="tx1"/>
                  </w14:solidFill>
                </w14:textFill>
              </w:rPr>
              <w:t>评分规则</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kern w:val="0"/>
                <w:sz w:val="20"/>
                <w:lang w:bidi="ar"/>
                <w14:textFill>
                  <w14:solidFill>
                    <w14:schemeClr w14:val="tx1"/>
                  </w14:solidFill>
                </w14:textFill>
              </w:rPr>
              <w:t>分值</w:t>
            </w:r>
          </w:p>
        </w:tc>
      </w:tr>
      <w:tr>
        <w:tblPrEx>
          <w:tblCellMar>
            <w:top w:w="0" w:type="dxa"/>
            <w:left w:w="108" w:type="dxa"/>
            <w:bottom w:w="0" w:type="dxa"/>
            <w:right w:w="108" w:type="dxa"/>
          </w:tblCellMar>
        </w:tblPrEx>
        <w:trPr>
          <w:trHeight w:val="27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注册资本</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themeColor="text1"/>
                <w:sz w:val="20"/>
                <w14:textFill>
                  <w14:solidFill>
                    <w14:schemeClr w14:val="tx1"/>
                  </w14:solidFill>
                </w14:textFill>
              </w:rPr>
            </w:pPr>
            <w:r>
              <w:rPr>
                <w:rFonts w:ascii="等线" w:hAnsi="等线" w:eastAsia="等线" w:cs="等线"/>
                <w:color w:val="000000" w:themeColor="text1"/>
                <w:kern w:val="0"/>
                <w:sz w:val="20"/>
                <w:lang w:bidi="ar"/>
                <w14:textFill>
                  <w14:solidFill>
                    <w14:schemeClr w14:val="tx1"/>
                  </w14:solidFill>
                </w14:textFill>
              </w:rPr>
              <w:t>1</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不少于500万元</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投标材料</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准入条件，无评分</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一票否决</w:t>
            </w:r>
          </w:p>
        </w:tc>
      </w:tr>
      <w:tr>
        <w:tblPrEx>
          <w:tblCellMar>
            <w:top w:w="0" w:type="dxa"/>
            <w:left w:w="108" w:type="dxa"/>
            <w:bottom w:w="0" w:type="dxa"/>
            <w:right w:w="108" w:type="dxa"/>
          </w:tblCellMar>
        </w:tblPrEx>
        <w:trPr>
          <w:trHeight w:val="27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注册时间</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themeColor="text1"/>
                <w:sz w:val="20"/>
                <w14:textFill>
                  <w14:solidFill>
                    <w14:schemeClr w14:val="tx1"/>
                  </w14:solidFill>
                </w14:textFill>
              </w:rPr>
            </w:pPr>
            <w:r>
              <w:rPr>
                <w:rFonts w:ascii="等线" w:hAnsi="等线" w:eastAsia="等线" w:cs="等线"/>
                <w:color w:val="000000" w:themeColor="text1"/>
                <w:kern w:val="0"/>
                <w:sz w:val="20"/>
                <w:lang w:bidi="ar"/>
                <w14:textFill>
                  <w14:solidFill>
                    <w14:schemeClr w14:val="tx1"/>
                  </w14:solidFill>
                </w14:textFill>
              </w:rPr>
              <w:t>2</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不少于3年</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投标材料</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准入条件，无评分</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一票否决</w:t>
            </w:r>
          </w:p>
        </w:tc>
      </w:tr>
      <w:tr>
        <w:tblPrEx>
          <w:tblCellMar>
            <w:top w:w="0" w:type="dxa"/>
            <w:left w:w="108" w:type="dxa"/>
            <w:bottom w:w="0" w:type="dxa"/>
            <w:right w:w="108" w:type="dxa"/>
          </w:tblCellMar>
        </w:tblPrEx>
        <w:trPr>
          <w:trHeight w:val="216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公司资质</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themeColor="text1"/>
                <w:sz w:val="20"/>
                <w14:textFill>
                  <w14:solidFill>
                    <w14:schemeClr w14:val="tx1"/>
                  </w14:solidFill>
                </w14:textFill>
              </w:rPr>
            </w:pPr>
            <w:r>
              <w:rPr>
                <w:rFonts w:ascii="等线" w:hAnsi="等线" w:eastAsia="等线" w:cs="等线"/>
                <w:color w:val="000000" w:themeColor="text1"/>
                <w:kern w:val="0"/>
                <w:sz w:val="20"/>
                <w:lang w:bidi="ar"/>
                <w14:textFill>
                  <w14:solidFill>
                    <w14:schemeClr w14:val="tx1"/>
                  </w14:solidFill>
                </w14:textFill>
              </w:rPr>
              <w:t>3</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认证资质</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投标材料</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公司信息安全资质得分：</w:t>
            </w:r>
            <w:r>
              <w:rPr>
                <w:rFonts w:hint="eastAsia" w:ascii="宋体" w:hAnsi="宋体" w:cs="宋体"/>
                <w:color w:val="000000" w:themeColor="text1"/>
                <w:kern w:val="0"/>
                <w:sz w:val="20"/>
                <w:lang w:bidi="ar"/>
                <w14:textFill>
                  <w14:solidFill>
                    <w14:schemeClr w14:val="tx1"/>
                  </w14:solidFill>
                </w14:textFill>
              </w:rPr>
              <w:br w:type="textWrapping"/>
            </w:r>
            <w:r>
              <w:rPr>
                <w:rFonts w:hint="eastAsia" w:ascii="宋体" w:hAnsi="宋体" w:cs="宋体"/>
                <w:color w:val="000000" w:themeColor="text1"/>
                <w:kern w:val="0"/>
                <w:sz w:val="20"/>
                <w:lang w:bidi="ar"/>
                <w14:textFill>
                  <w14:solidFill>
                    <w14:schemeClr w14:val="tx1"/>
                  </w14:solidFill>
                </w14:textFill>
              </w:rPr>
              <w:t>1、国家信息安全测评信息安全服务资质证书-风险评估类：二级2分，一级1分。</w:t>
            </w:r>
            <w:r>
              <w:rPr>
                <w:rFonts w:hint="eastAsia" w:ascii="宋体" w:hAnsi="宋体" w:cs="宋体"/>
                <w:color w:val="000000" w:themeColor="text1"/>
                <w:kern w:val="0"/>
                <w:sz w:val="20"/>
                <w:lang w:bidi="ar"/>
                <w14:textFill>
                  <w14:solidFill>
                    <w14:schemeClr w14:val="tx1"/>
                  </w14:solidFill>
                </w14:textFill>
              </w:rPr>
              <w:br w:type="textWrapping"/>
            </w:r>
            <w:r>
              <w:rPr>
                <w:rFonts w:hint="eastAsia" w:ascii="宋体" w:hAnsi="宋体" w:cs="宋体"/>
                <w:color w:val="000000" w:themeColor="text1"/>
                <w:kern w:val="0"/>
                <w:sz w:val="20"/>
                <w:lang w:bidi="ar"/>
                <w14:textFill>
                  <w14:solidFill>
                    <w14:schemeClr w14:val="tx1"/>
                  </w14:solidFill>
                </w14:textFill>
              </w:rPr>
              <w:t>2、中国国家信息安全漏洞库(CNNVD)技术支撑单位资质：一级3分，二级2分，三级1分。</w:t>
            </w:r>
            <w:r>
              <w:rPr>
                <w:rFonts w:hint="eastAsia" w:ascii="宋体" w:hAnsi="宋体" w:cs="宋体"/>
                <w:color w:val="000000" w:themeColor="text1"/>
                <w:kern w:val="0"/>
                <w:sz w:val="20"/>
                <w:lang w:bidi="ar"/>
                <w14:textFill>
                  <w14:solidFill>
                    <w14:schemeClr w14:val="tx1"/>
                  </w14:solidFill>
                </w14:textFill>
              </w:rPr>
              <w:br w:type="textWrapping"/>
            </w:r>
            <w:r>
              <w:rPr>
                <w:rFonts w:hint="eastAsia" w:ascii="宋体" w:hAnsi="宋体" w:cs="宋体"/>
                <w:color w:val="000000" w:themeColor="text1"/>
                <w:kern w:val="0"/>
                <w:sz w:val="20"/>
                <w:lang w:bidi="ar"/>
                <w14:textFill>
                  <w14:solidFill>
                    <w14:schemeClr w14:val="tx1"/>
                  </w14:solidFill>
                </w14:textFill>
              </w:rPr>
              <w:t>3、国家计算机网络应急技术处理协调中心(CNCERT/CC)应急服务支撑资质：国家级3分，省级1分。</w:t>
            </w:r>
            <w:r>
              <w:rPr>
                <w:rFonts w:hint="eastAsia" w:ascii="宋体" w:hAnsi="宋体" w:cs="宋体"/>
                <w:color w:val="000000" w:themeColor="text1"/>
                <w:kern w:val="0"/>
                <w:sz w:val="20"/>
                <w:lang w:bidi="ar"/>
                <w14:textFill>
                  <w14:solidFill>
                    <w14:schemeClr w14:val="tx1"/>
                  </w14:solidFill>
                </w14:textFill>
              </w:rPr>
              <w:br w:type="textWrapping"/>
            </w:r>
            <w:r>
              <w:rPr>
                <w:rFonts w:hint="eastAsia" w:ascii="宋体" w:hAnsi="宋体" w:cs="宋体"/>
                <w:color w:val="000000" w:themeColor="text1"/>
                <w:kern w:val="0"/>
                <w:sz w:val="20"/>
                <w:lang w:bidi="ar"/>
                <w14:textFill>
                  <w14:solidFill>
                    <w14:schemeClr w14:val="tx1"/>
                  </w14:solidFill>
                </w14:textFill>
              </w:rPr>
              <w:t>注：提供相关证明文件，复印件需加盖公章。</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8</w:t>
            </w:r>
          </w:p>
        </w:tc>
      </w:tr>
      <w:tr>
        <w:tblPrEx>
          <w:tblCellMar>
            <w:top w:w="0" w:type="dxa"/>
            <w:left w:w="108" w:type="dxa"/>
            <w:bottom w:w="0" w:type="dxa"/>
            <w:right w:w="108" w:type="dxa"/>
          </w:tblCellMar>
        </w:tblPrEx>
        <w:trPr>
          <w:trHeight w:val="16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类似业绩</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themeColor="text1"/>
                <w:sz w:val="20"/>
                <w14:textFill>
                  <w14:solidFill>
                    <w14:schemeClr w14:val="tx1"/>
                  </w14:solidFill>
                </w14:textFill>
              </w:rPr>
            </w:pPr>
            <w:r>
              <w:rPr>
                <w:rFonts w:ascii="等线" w:hAnsi="等线" w:eastAsia="等线" w:cs="等线"/>
                <w:color w:val="000000" w:themeColor="text1"/>
                <w:kern w:val="0"/>
                <w:sz w:val="20"/>
                <w:lang w:bidi="ar"/>
                <w14:textFill>
                  <w14:solidFill>
                    <w14:schemeClr w14:val="tx1"/>
                  </w14:solidFill>
                </w14:textFill>
              </w:rPr>
              <w:t>4</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实施案例</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投标材料</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2022年1月（含1月）以来投标单位承担具备省级（含）以上银行业金融机构（含国有银行、股份制银行、省级城商行、省级农村信用社、省级联合银行）相关安全测试项目的成功案例，每个得1分，最高15分。（含众测、红蓝对抗、攻防演练、渗透测试等相关）</w:t>
            </w:r>
            <w:r>
              <w:rPr>
                <w:rFonts w:hint="eastAsia" w:ascii="宋体" w:hAnsi="宋体" w:cs="宋体"/>
                <w:color w:val="000000" w:themeColor="text1"/>
                <w:kern w:val="0"/>
                <w:sz w:val="20"/>
                <w:lang w:bidi="ar"/>
                <w14:textFill>
                  <w14:solidFill>
                    <w14:schemeClr w14:val="tx1"/>
                  </w14:solidFill>
                </w14:textFill>
              </w:rPr>
              <w:br w:type="textWrapping"/>
            </w:r>
            <w:r>
              <w:rPr>
                <w:rFonts w:hint="eastAsia" w:ascii="宋体" w:hAnsi="宋体" w:cs="宋体"/>
                <w:color w:val="000000" w:themeColor="text1"/>
                <w:kern w:val="0"/>
                <w:sz w:val="20"/>
                <w:lang w:bidi="ar"/>
                <w14:textFill>
                  <w14:solidFill>
                    <w14:schemeClr w14:val="tx1"/>
                  </w14:solidFill>
                </w14:textFill>
              </w:rPr>
              <w:t>注：提供相关证明文件，复印件需加盖公章。</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15</w:t>
            </w:r>
          </w:p>
        </w:tc>
      </w:tr>
      <w:tr>
        <w:tblPrEx>
          <w:tblCellMar>
            <w:top w:w="0" w:type="dxa"/>
            <w:left w:w="108" w:type="dxa"/>
            <w:bottom w:w="0" w:type="dxa"/>
            <w:right w:w="108" w:type="dxa"/>
          </w:tblCellMar>
        </w:tblPrEx>
        <w:trPr>
          <w:trHeight w:val="216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实施能力</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themeColor="text1"/>
                <w:sz w:val="20"/>
                <w14:textFill>
                  <w14:solidFill>
                    <w14:schemeClr w14:val="tx1"/>
                  </w14:solidFill>
                </w14:textFill>
              </w:rPr>
            </w:pPr>
            <w:r>
              <w:rPr>
                <w:rFonts w:ascii="等线" w:hAnsi="等线" w:eastAsia="等线" w:cs="等线"/>
                <w:color w:val="000000" w:themeColor="text1"/>
                <w:kern w:val="0"/>
                <w:sz w:val="20"/>
                <w:lang w:bidi="ar"/>
                <w14:textFill>
                  <w14:solidFill>
                    <w14:schemeClr w14:val="tx1"/>
                  </w14:solidFill>
                </w14:textFill>
              </w:rPr>
              <w:t>5</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近3年漏洞挖掘情况</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投标材料</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投标人提供实施本项目的项目组人员2022年1月（含1月）以来在著名漏洞库（CVE、CNVD、CNNVD等）漏洞提交情况的证明材料，若漏洞提交人使用网名提交漏洞，须额外提供证明材料证明该网名使用者为本次项目实施人员，每提供1份证明材料得1分，最高12分。</w:t>
            </w:r>
            <w:r>
              <w:rPr>
                <w:rFonts w:hint="eastAsia" w:ascii="宋体" w:hAnsi="宋体" w:cs="宋体"/>
                <w:color w:val="000000" w:themeColor="text1"/>
                <w:kern w:val="0"/>
                <w:sz w:val="20"/>
                <w:lang w:bidi="ar"/>
                <w14:textFill>
                  <w14:solidFill>
                    <w14:schemeClr w14:val="tx1"/>
                  </w14:solidFill>
                </w14:textFill>
              </w:rPr>
              <w:br w:type="textWrapping"/>
            </w:r>
            <w:r>
              <w:rPr>
                <w:rFonts w:hint="eastAsia" w:ascii="宋体" w:hAnsi="宋体" w:cs="宋体"/>
                <w:color w:val="000000" w:themeColor="text1"/>
                <w:kern w:val="0"/>
                <w:sz w:val="20"/>
                <w:lang w:bidi="ar"/>
                <w14:textFill>
                  <w14:solidFill>
                    <w14:schemeClr w14:val="tx1"/>
                  </w14:solidFill>
                </w14:textFill>
              </w:rPr>
              <w:t>注：投标人需提供项目团队成员简历、近半年社保证明复印件（若社保由第三方代缴，则还需提供相应证明材料），复印件需加盖公章。</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12</w:t>
            </w:r>
          </w:p>
        </w:tc>
      </w:tr>
      <w:tr>
        <w:tblPrEx>
          <w:tblCellMar>
            <w:top w:w="0" w:type="dxa"/>
            <w:left w:w="108" w:type="dxa"/>
            <w:bottom w:w="0" w:type="dxa"/>
            <w:right w:w="108" w:type="dxa"/>
          </w:tblCellMar>
        </w:tblPrEx>
        <w:trPr>
          <w:trHeight w:val="480" w:hRule="atLeast"/>
        </w:trPr>
        <w:tc>
          <w:tcPr>
            <w:tcW w:w="496"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总体响应情况</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themeColor="text1"/>
                <w:sz w:val="20"/>
                <w14:textFill>
                  <w14:solidFill>
                    <w14:schemeClr w14:val="tx1"/>
                  </w14:solidFill>
                </w14:textFill>
              </w:rPr>
            </w:pPr>
            <w:r>
              <w:rPr>
                <w:rFonts w:ascii="等线" w:hAnsi="等线" w:eastAsia="等线" w:cs="等线"/>
                <w:color w:val="000000" w:themeColor="text1"/>
                <w:kern w:val="0"/>
                <w:sz w:val="20"/>
                <w:lang w:bidi="ar"/>
                <w14:textFill>
                  <w14:solidFill>
                    <w14:schemeClr w14:val="tx1"/>
                  </w14:solidFill>
                </w14:textFill>
              </w:rPr>
              <w:t>6</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根据投标人提交的投标文件，考察投标方案对招标文件总体要求的响应程度。</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投标材料</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全部响应得5分；1条无法响应得3分；2条及以上无法响应不得分</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5</w:t>
            </w:r>
          </w:p>
        </w:tc>
      </w:tr>
      <w:tr>
        <w:tblPrEx>
          <w:tblCellMar>
            <w:top w:w="0" w:type="dxa"/>
            <w:left w:w="108" w:type="dxa"/>
            <w:bottom w:w="0" w:type="dxa"/>
            <w:right w:w="108" w:type="dxa"/>
          </w:tblCellMar>
        </w:tblPrEx>
        <w:trPr>
          <w:trHeight w:val="1200" w:hRule="atLeast"/>
        </w:trPr>
        <w:tc>
          <w:tcPr>
            <w:tcW w:w="49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实施方案</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themeColor="text1"/>
                <w:sz w:val="20"/>
                <w14:textFill>
                  <w14:solidFill>
                    <w14:schemeClr w14:val="tx1"/>
                  </w14:solidFill>
                </w14:textFill>
              </w:rPr>
            </w:pPr>
            <w:r>
              <w:rPr>
                <w:rFonts w:ascii="等线" w:hAnsi="等线" w:eastAsia="等线" w:cs="等线"/>
                <w:color w:val="000000" w:themeColor="text1"/>
                <w:kern w:val="0"/>
                <w:sz w:val="20"/>
                <w:lang w:bidi="ar"/>
                <w14:textFill>
                  <w14:solidFill>
                    <w14:schemeClr w14:val="tx1"/>
                  </w14:solidFill>
                </w14:textFill>
              </w:rPr>
              <w:t>7</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实施内容及计划</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投标材料</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项目实施范围根据采购需求理解正确，实施组织计划有序，成员经验和配备充足，职责划分明确，响应快速。</w:t>
            </w:r>
            <w:r>
              <w:rPr>
                <w:rFonts w:hint="eastAsia" w:ascii="宋体" w:hAnsi="宋体" w:cs="宋体"/>
                <w:color w:val="000000" w:themeColor="text1"/>
                <w:kern w:val="0"/>
                <w:sz w:val="20"/>
                <w:lang w:bidi="ar"/>
                <w14:textFill>
                  <w14:solidFill>
                    <w14:schemeClr w14:val="tx1"/>
                  </w14:solidFill>
                </w14:textFill>
              </w:rPr>
              <w:br w:type="textWrapping"/>
            </w:r>
            <w:r>
              <w:rPr>
                <w:rFonts w:hint="eastAsia" w:ascii="宋体" w:hAnsi="宋体" w:cs="宋体"/>
                <w:color w:val="000000" w:themeColor="text1"/>
                <w:kern w:val="0"/>
                <w:sz w:val="20"/>
                <w:lang w:bidi="ar"/>
                <w14:textFill>
                  <w14:solidFill>
                    <w14:schemeClr w14:val="tx1"/>
                  </w14:solidFill>
                </w14:textFill>
              </w:rPr>
              <w:t>根据以上事项评判项目实施方案优劣，优秀得10分，良好7分，较差3分，不提供不得分。</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10</w:t>
            </w:r>
          </w:p>
        </w:tc>
      </w:tr>
    </w:tbl>
    <w:p>
      <w:pPr>
        <w:spacing w:line="560" w:lineRule="exact"/>
        <w:ind w:firstLine="662" w:firstLineChars="300"/>
        <w:rPr>
          <w:rFonts w:ascii="仿宋_GB2312" w:hAnsi="宋体" w:eastAsia="仿宋_GB2312"/>
          <w:b/>
          <w:bCs/>
          <w:color w:val="000000" w:themeColor="text1"/>
          <w:sz w:val="22"/>
          <w:szCs w:val="28"/>
          <w14:textFill>
            <w14:solidFill>
              <w14:schemeClr w14:val="tx1"/>
            </w14:solidFill>
          </w14:textFill>
        </w:rPr>
      </w:pPr>
      <w:r>
        <w:rPr>
          <w:rFonts w:hint="eastAsia" w:ascii="仿宋_GB2312" w:hAnsi="宋体" w:eastAsia="仿宋_GB2312"/>
          <w:b/>
          <w:bCs/>
          <w:color w:val="000000" w:themeColor="text1"/>
          <w:sz w:val="22"/>
          <w:szCs w:val="28"/>
          <w14:textFill>
            <w14:solidFill>
              <w14:schemeClr w14:val="tx1"/>
            </w14:solidFill>
          </w14:textFill>
        </w:rPr>
        <w:t>*请根据上表制作评分索引表</w:t>
      </w:r>
    </w:p>
    <w:p>
      <w:pPr>
        <w:spacing w:line="560" w:lineRule="exact"/>
        <w:ind w:firstLine="843" w:firstLineChars="300"/>
        <w:rPr>
          <w:rFonts w:ascii="仿宋_GB2312" w:hAnsi="宋体" w:eastAsia="仿宋_GB2312"/>
          <w:b/>
          <w:bCs/>
          <w:color w:val="000000" w:themeColor="text1"/>
          <w:sz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标段二：</w:t>
      </w:r>
      <w:r>
        <w:rPr>
          <w:rFonts w:hint="eastAsia" w:ascii="仿宋_GB2312" w:eastAsia="仿宋_GB2312"/>
          <w:b/>
          <w:bCs/>
          <w:color w:val="000000" w:themeColor="text1"/>
          <w:sz w:val="28"/>
          <w:szCs w:val="28"/>
          <w14:textFill>
            <w14:solidFill>
              <w14:schemeClr w14:val="tx1"/>
            </w14:solidFill>
          </w14:textFill>
        </w:rPr>
        <w:t>安全攻防演练服务</w:t>
      </w:r>
    </w:p>
    <w:p>
      <w:pPr>
        <w:spacing w:line="560" w:lineRule="exact"/>
        <w:ind w:firstLine="840" w:firstLineChars="3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1.综合评分【100分】=商务评分（报价）【50分】＋商务评分（现场）【50分】；</w:t>
      </w:r>
    </w:p>
    <w:p>
      <w:pPr>
        <w:spacing w:line="560" w:lineRule="exact"/>
        <w:ind w:firstLine="840" w:firstLineChars="3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商务评分（报价）计算规则【50分】：以供应商投标报价为准，按均值偏离度规则计算。均值偏离度规则是以所有有效报价均值作为评标基准价，报价等于评标基准价得满分50分。报价比评标基准价每低1%，扣0.3分；报价比基准价每高1%，扣0.5分。</w:t>
      </w:r>
    </w:p>
    <w:p>
      <w:pPr>
        <w:spacing w:line="560" w:lineRule="exact"/>
        <w:ind w:firstLine="840" w:firstLineChars="3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3.商务评分（现场）【50分】计算规则，详见如下：</w:t>
      </w:r>
    </w:p>
    <w:tbl>
      <w:tblPr>
        <w:tblStyle w:val="12"/>
        <w:tblW w:w="4997" w:type="pct"/>
        <w:tblInd w:w="0" w:type="dxa"/>
        <w:tblLayout w:type="autofit"/>
        <w:tblCellMar>
          <w:top w:w="0" w:type="dxa"/>
          <w:left w:w="108" w:type="dxa"/>
          <w:bottom w:w="0" w:type="dxa"/>
          <w:right w:w="108" w:type="dxa"/>
        </w:tblCellMar>
      </w:tblPr>
      <w:tblGrid>
        <w:gridCol w:w="749"/>
        <w:gridCol w:w="702"/>
        <w:gridCol w:w="1635"/>
        <w:gridCol w:w="1289"/>
        <w:gridCol w:w="2761"/>
        <w:gridCol w:w="704"/>
        <w:gridCol w:w="677"/>
      </w:tblGrid>
      <w:tr>
        <w:tblPrEx>
          <w:tblCellMar>
            <w:top w:w="0" w:type="dxa"/>
            <w:left w:w="108" w:type="dxa"/>
            <w:bottom w:w="0" w:type="dxa"/>
            <w:right w:w="108" w:type="dxa"/>
          </w:tblCellMar>
        </w:tblPrEx>
        <w:trPr>
          <w:trHeight w:val="27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kern w:val="0"/>
                <w:sz w:val="20"/>
                <w:lang w:bidi="ar"/>
                <w14:textFill>
                  <w14:solidFill>
                    <w14:schemeClr w14:val="tx1"/>
                  </w14:solidFill>
                </w14:textFill>
              </w:rPr>
              <w:t>分类</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kern w:val="0"/>
                <w:sz w:val="20"/>
                <w:lang w:bidi="ar"/>
                <w14:textFill>
                  <w14:solidFill>
                    <w14:schemeClr w14:val="tx1"/>
                  </w14:solidFill>
                </w14:textFill>
              </w:rPr>
              <w:t>序号</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kern w:val="0"/>
                <w:sz w:val="20"/>
                <w:lang w:bidi="ar"/>
                <w14:textFill>
                  <w14:solidFill>
                    <w14:schemeClr w14:val="tx1"/>
                  </w14:solidFill>
                </w14:textFill>
              </w:rPr>
              <w:t>子项</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kern w:val="0"/>
                <w:sz w:val="20"/>
                <w:lang w:bidi="ar"/>
                <w14:textFill>
                  <w14:solidFill>
                    <w14:schemeClr w14:val="tx1"/>
                  </w14:solidFill>
                </w14:textFill>
              </w:rPr>
              <w:t>展现方式</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kern w:val="0"/>
                <w:sz w:val="20"/>
                <w:lang w:bidi="ar"/>
                <w14:textFill>
                  <w14:solidFill>
                    <w14:schemeClr w14:val="tx1"/>
                  </w14:solidFill>
                </w14:textFill>
              </w:rPr>
              <w:t>评分规则</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kern w:val="0"/>
                <w:sz w:val="20"/>
                <w:lang w:bidi="ar"/>
                <w14:textFill>
                  <w14:solidFill>
                    <w14:schemeClr w14:val="tx1"/>
                  </w14:solidFill>
                </w14:textFill>
              </w:rPr>
              <w:t>分值</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14:textFill>
                  <w14:solidFill>
                    <w14:schemeClr w14:val="tx1"/>
                  </w14:solidFill>
                </w14:textFill>
              </w:rPr>
            </w:pPr>
            <w:r>
              <w:rPr>
                <w:rFonts w:hint="eastAsia" w:ascii="宋体" w:hAnsi="宋体" w:cs="宋体"/>
                <w:b/>
                <w:bCs/>
                <w:color w:val="000000" w:themeColor="text1"/>
                <w:kern w:val="0"/>
                <w:sz w:val="20"/>
                <w:lang w:bidi="ar"/>
                <w14:textFill>
                  <w14:solidFill>
                    <w14:schemeClr w14:val="tx1"/>
                  </w14:solidFill>
                </w14:textFill>
              </w:rPr>
              <w:t>结果</w:t>
            </w:r>
          </w:p>
        </w:tc>
      </w:tr>
      <w:tr>
        <w:tblPrEx>
          <w:tblCellMar>
            <w:top w:w="0" w:type="dxa"/>
            <w:left w:w="108" w:type="dxa"/>
            <w:bottom w:w="0" w:type="dxa"/>
            <w:right w:w="108" w:type="dxa"/>
          </w:tblCellMar>
        </w:tblPrEx>
        <w:trPr>
          <w:trHeight w:val="27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注册资本</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themeColor="text1"/>
                <w:sz w:val="20"/>
                <w14:textFill>
                  <w14:solidFill>
                    <w14:schemeClr w14:val="tx1"/>
                  </w14:solidFill>
                </w14:textFill>
              </w:rPr>
            </w:pPr>
            <w:r>
              <w:rPr>
                <w:rFonts w:ascii="等线" w:hAnsi="等线" w:eastAsia="等线" w:cs="等线"/>
                <w:color w:val="000000" w:themeColor="text1"/>
                <w:kern w:val="0"/>
                <w:sz w:val="20"/>
                <w:lang w:bidi="ar"/>
                <w14:textFill>
                  <w14:solidFill>
                    <w14:schemeClr w14:val="tx1"/>
                  </w14:solidFill>
                </w14:textFill>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不少于500万元</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投标材料</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准入条件，无评分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一票否决</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注册时间</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themeColor="text1"/>
                <w:sz w:val="20"/>
                <w14:textFill>
                  <w14:solidFill>
                    <w14:schemeClr w14:val="tx1"/>
                  </w14:solidFill>
                </w14:textFill>
              </w:rPr>
            </w:pPr>
            <w:r>
              <w:rPr>
                <w:rFonts w:ascii="等线" w:hAnsi="等线" w:eastAsia="等线" w:cs="等线"/>
                <w:color w:val="000000" w:themeColor="text1"/>
                <w:kern w:val="0"/>
                <w:sz w:val="20"/>
                <w:lang w:bidi="ar"/>
                <w14:textFill>
                  <w14:solidFill>
                    <w14:schemeClr w14:val="tx1"/>
                  </w14:solidFill>
                </w14:textFill>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不少于3年</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投标材料</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准入条件，无评分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一票否决</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264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公司资质</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themeColor="text1"/>
                <w:sz w:val="20"/>
                <w14:textFill>
                  <w14:solidFill>
                    <w14:schemeClr w14:val="tx1"/>
                  </w14:solidFill>
                </w14:textFill>
              </w:rPr>
            </w:pPr>
            <w:r>
              <w:rPr>
                <w:rFonts w:ascii="等线" w:hAnsi="等线" w:eastAsia="等线" w:cs="等线"/>
                <w:color w:val="000000" w:themeColor="text1"/>
                <w:kern w:val="0"/>
                <w:sz w:val="20"/>
                <w:lang w:bidi="ar"/>
                <w14:textFill>
                  <w14:solidFill>
                    <w14:schemeClr w14:val="tx1"/>
                  </w14:solidFill>
                </w14:textFill>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认证资质</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投标材料</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公司信息安全资质得分：</w:t>
            </w:r>
            <w:r>
              <w:rPr>
                <w:rFonts w:hint="eastAsia" w:ascii="宋体" w:hAnsi="宋体" w:cs="宋体"/>
                <w:color w:val="000000" w:themeColor="text1"/>
                <w:kern w:val="0"/>
                <w:sz w:val="20"/>
                <w:lang w:bidi="ar"/>
                <w14:textFill>
                  <w14:solidFill>
                    <w14:schemeClr w14:val="tx1"/>
                  </w14:solidFill>
                </w14:textFill>
              </w:rPr>
              <w:br w:type="textWrapping"/>
            </w:r>
            <w:r>
              <w:rPr>
                <w:rFonts w:hint="eastAsia" w:ascii="宋体" w:hAnsi="宋体" w:cs="宋体"/>
                <w:color w:val="000000" w:themeColor="text1"/>
                <w:kern w:val="0"/>
                <w:sz w:val="20"/>
                <w:lang w:bidi="ar"/>
                <w14:textFill>
                  <w14:solidFill>
                    <w14:schemeClr w14:val="tx1"/>
                  </w14:solidFill>
                </w14:textFill>
              </w:rPr>
              <w:t>1、国家信息安全测评信息安全服务资质证书-风险评估类：二级2分，一级1分（提供相关证明文件，复印件需加盖公章）；</w:t>
            </w:r>
            <w:r>
              <w:rPr>
                <w:rFonts w:hint="eastAsia" w:ascii="宋体" w:hAnsi="宋体" w:cs="宋体"/>
                <w:color w:val="000000" w:themeColor="text1"/>
                <w:kern w:val="0"/>
                <w:sz w:val="20"/>
                <w:lang w:bidi="ar"/>
                <w14:textFill>
                  <w14:solidFill>
                    <w14:schemeClr w14:val="tx1"/>
                  </w14:solidFill>
                </w14:textFill>
              </w:rPr>
              <w:br w:type="textWrapping"/>
            </w:r>
            <w:r>
              <w:rPr>
                <w:rFonts w:hint="eastAsia" w:ascii="宋体" w:hAnsi="宋体" w:cs="宋体"/>
                <w:color w:val="000000" w:themeColor="text1"/>
                <w:kern w:val="0"/>
                <w:sz w:val="20"/>
                <w:lang w:bidi="ar"/>
                <w14:textFill>
                  <w14:solidFill>
                    <w14:schemeClr w14:val="tx1"/>
                  </w14:solidFill>
                </w14:textFill>
              </w:rPr>
              <w:t>2、中国国家信息安全漏洞库(CNNVD)技术支撑单位资质：一级3分，二级1分，三级0分（提供相关证明文件，复印件需加盖公章）；</w:t>
            </w:r>
            <w:r>
              <w:rPr>
                <w:rFonts w:hint="eastAsia" w:ascii="宋体" w:hAnsi="宋体" w:cs="宋体"/>
                <w:color w:val="000000" w:themeColor="text1"/>
                <w:kern w:val="0"/>
                <w:sz w:val="20"/>
                <w:lang w:bidi="ar"/>
                <w14:textFill>
                  <w14:solidFill>
                    <w14:schemeClr w14:val="tx1"/>
                  </w14:solidFill>
                </w14:textFill>
              </w:rPr>
              <w:br w:type="textWrapping"/>
            </w:r>
            <w:r>
              <w:rPr>
                <w:rFonts w:hint="eastAsia" w:ascii="宋体" w:hAnsi="宋体" w:cs="宋体"/>
                <w:color w:val="000000" w:themeColor="text1"/>
                <w:kern w:val="0"/>
                <w:sz w:val="20"/>
                <w:lang w:bidi="ar"/>
                <w14:textFill>
                  <w14:solidFill>
                    <w14:schemeClr w14:val="tx1"/>
                  </w14:solidFill>
                </w14:textFill>
              </w:rPr>
              <w:t>3、国家计算机网络应急技术处理协调中心(CNCERT/CC)应急服务支撑资质：国家级3分，省级1分（提供相关证明文件，复印件需加盖公章）。</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8</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240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类似业绩</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themeColor="text1"/>
                <w:sz w:val="20"/>
                <w14:textFill>
                  <w14:solidFill>
                    <w14:schemeClr w14:val="tx1"/>
                  </w14:solidFill>
                </w14:textFill>
              </w:rPr>
            </w:pPr>
            <w:r>
              <w:rPr>
                <w:rFonts w:ascii="等线" w:hAnsi="等线" w:eastAsia="等线" w:cs="等线"/>
                <w:color w:val="000000" w:themeColor="text1"/>
                <w:kern w:val="0"/>
                <w:sz w:val="20"/>
                <w:lang w:bidi="ar"/>
                <w14:textFill>
                  <w14:solidFill>
                    <w14:schemeClr w14:val="tx1"/>
                  </w14:solidFill>
                </w14:textFill>
              </w:rPr>
              <w:t>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实施案例</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投标材料</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投标人提供2022年1月（含2022年1月）以来银行金融业攻防演练或红蓝对抗红队（攻击队）合同关键页。承担具备省级（含）以上银行业金融机构（含国有银行、股份制银行、省级城商行、省级农村信用社（联合银行））相关安全攻防演练或者红蓝对抗项目的成功案例，每提供一份得2分，承担其他银行金融机构案例，每提供一份得1分。最高15分。（不含安全运营、重保、众测、渗透测试等案例）。</w:t>
            </w:r>
            <w:r>
              <w:rPr>
                <w:rFonts w:hint="eastAsia" w:ascii="宋体" w:hAnsi="宋体" w:cs="宋体"/>
                <w:color w:val="000000" w:themeColor="text1"/>
                <w:kern w:val="0"/>
                <w:sz w:val="20"/>
                <w:lang w:bidi="ar"/>
                <w14:textFill>
                  <w14:solidFill>
                    <w14:schemeClr w14:val="tx1"/>
                  </w14:solidFill>
                </w14:textFill>
              </w:rPr>
              <w:br w:type="textWrapping"/>
            </w:r>
            <w:r>
              <w:rPr>
                <w:rFonts w:hint="eastAsia" w:ascii="宋体" w:hAnsi="宋体" w:cs="宋体"/>
                <w:color w:val="000000" w:themeColor="text1"/>
                <w:kern w:val="0"/>
                <w:sz w:val="20"/>
                <w:lang w:bidi="ar"/>
                <w14:textFill>
                  <w14:solidFill>
                    <w14:schemeClr w14:val="tx1"/>
                  </w14:solidFill>
                </w14:textFill>
              </w:rPr>
              <w:t>注：提供相关证明文件，复印件需加盖公章。</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15</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1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综合能力</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themeColor="text1"/>
                <w:sz w:val="20"/>
                <w14:textFill>
                  <w14:solidFill>
                    <w14:schemeClr w14:val="tx1"/>
                  </w14:solidFill>
                </w14:textFill>
              </w:rPr>
            </w:pPr>
            <w:r>
              <w:rPr>
                <w:rFonts w:ascii="等线" w:hAnsi="等线" w:eastAsia="等线" w:cs="等线"/>
                <w:color w:val="000000" w:themeColor="text1"/>
                <w:kern w:val="0"/>
                <w:sz w:val="20"/>
                <w:lang w:bidi="ar"/>
                <w14:textFill>
                  <w14:solidFill>
                    <w14:schemeClr w14:val="tx1"/>
                  </w14:solidFill>
                </w14:textFill>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组织能力</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投标材料</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投标人提供2022年1月（含2022年1月）以来参与护网、网安行动证明材料（如：护网组织方（公安、网信部门）颁发的证书、奖牌、表扬信等）。国家级行动每提供一份材料得2分，省级（含直辖市）行动每提供一份材料得1分。若指明作为攻击队或红队的材料，每份额外得1分，最高10分。</w:t>
            </w:r>
            <w:r>
              <w:rPr>
                <w:rFonts w:hint="eastAsia" w:ascii="宋体" w:hAnsi="宋体" w:cs="宋体"/>
                <w:color w:val="000000" w:themeColor="text1"/>
                <w:kern w:val="0"/>
                <w:sz w:val="20"/>
                <w:lang w:bidi="ar"/>
                <w14:textFill>
                  <w14:solidFill>
                    <w14:schemeClr w14:val="tx1"/>
                  </w14:solidFill>
                </w14:textFill>
              </w:rPr>
              <w:br w:type="textWrapping"/>
            </w:r>
            <w:r>
              <w:rPr>
                <w:rFonts w:hint="eastAsia" w:ascii="宋体" w:hAnsi="宋体" w:cs="宋体"/>
                <w:color w:val="000000" w:themeColor="text1"/>
                <w:kern w:val="0"/>
                <w:sz w:val="20"/>
                <w:lang w:bidi="ar"/>
                <w14:textFill>
                  <w14:solidFill>
                    <w14:schemeClr w14:val="tx1"/>
                  </w14:solidFill>
                </w14:textFill>
              </w:rPr>
              <w:t>注：提供相关证明文件，复印件需加盖公章。</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10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2640" w:hRule="atLeast"/>
        </w:trPr>
        <w:tc>
          <w:tcPr>
            <w:tcW w:w="440"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实施能力</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themeColor="text1"/>
                <w:sz w:val="20"/>
                <w14:textFill>
                  <w14:solidFill>
                    <w14:schemeClr w14:val="tx1"/>
                  </w14:solidFill>
                </w14:textFill>
              </w:rPr>
            </w:pPr>
            <w:r>
              <w:rPr>
                <w:rFonts w:ascii="等线" w:hAnsi="等线" w:eastAsia="等线" w:cs="等线"/>
                <w:color w:val="000000" w:themeColor="text1"/>
                <w:kern w:val="0"/>
                <w:sz w:val="20"/>
                <w:lang w:bidi="ar"/>
                <w14:textFill>
                  <w14:solidFill>
                    <w14:schemeClr w14:val="tx1"/>
                  </w14:solidFill>
                </w14:textFill>
              </w:rPr>
              <w:t>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人员配置</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投标材料</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投标人提供实施本项目的项目组人员2022年1月（含2022年1月）以来在全国性质网络安全比赛（如：网鼎杯、天府杯、强网杯等）获奖证明材料，若队伍参加比赛或使用网名参加比赛，需额外提供证明材料证明比赛参与人员为本次项目实施人员。获得一等奖得3分、二等奖得2分、三等奖得1分，最高7分。</w:t>
            </w:r>
            <w:r>
              <w:rPr>
                <w:rFonts w:hint="eastAsia" w:ascii="宋体" w:hAnsi="宋体" w:cs="宋体"/>
                <w:color w:val="000000" w:themeColor="text1"/>
                <w:kern w:val="0"/>
                <w:sz w:val="20"/>
                <w:lang w:bidi="ar"/>
                <w14:textFill>
                  <w14:solidFill>
                    <w14:schemeClr w14:val="tx1"/>
                  </w14:solidFill>
                </w14:textFill>
              </w:rPr>
              <w:br w:type="textWrapping"/>
            </w:r>
            <w:r>
              <w:rPr>
                <w:rFonts w:hint="eastAsia" w:ascii="宋体" w:hAnsi="宋体" w:cs="宋体"/>
                <w:color w:val="000000" w:themeColor="text1"/>
                <w:kern w:val="0"/>
                <w:sz w:val="20"/>
                <w:lang w:bidi="ar"/>
                <w14:textFill>
                  <w14:solidFill>
                    <w14:schemeClr w14:val="tx1"/>
                  </w14:solidFill>
                </w14:textFill>
              </w:rPr>
              <w:t>注：投标人需提供项目团队成员简历、近半年社保证明复印件（若社保由第三方代缴，则还需提供相应证明材料），复印件需加盖公章。</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7</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1200" w:hRule="atLeast"/>
        </w:trPr>
        <w:tc>
          <w:tcPr>
            <w:tcW w:w="44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实施方案</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themeColor="text1"/>
                <w:sz w:val="20"/>
                <w14:textFill>
                  <w14:solidFill>
                    <w14:schemeClr w14:val="tx1"/>
                  </w14:solidFill>
                </w14:textFill>
              </w:rPr>
            </w:pPr>
            <w:r>
              <w:rPr>
                <w:rFonts w:ascii="等线" w:hAnsi="等线" w:eastAsia="等线" w:cs="等线"/>
                <w:color w:val="000000" w:themeColor="text1"/>
                <w:kern w:val="0"/>
                <w:sz w:val="20"/>
                <w:lang w:bidi="ar"/>
                <w14:textFill>
                  <w14:solidFill>
                    <w14:schemeClr w14:val="tx1"/>
                  </w14:solidFill>
                </w14:textFill>
              </w:rPr>
              <w:t>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实施内容及计划</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投标材料</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项目实施范围根据采购需求理解正确，实施组织计划有序，成员经验和配备充足，职责划分明确，响应快速。</w:t>
            </w:r>
            <w:r>
              <w:rPr>
                <w:rFonts w:hint="eastAsia" w:ascii="宋体" w:hAnsi="宋体" w:cs="宋体"/>
                <w:color w:val="000000" w:themeColor="text1"/>
                <w:kern w:val="0"/>
                <w:sz w:val="20"/>
                <w:lang w:bidi="ar"/>
                <w14:textFill>
                  <w14:solidFill>
                    <w14:schemeClr w14:val="tx1"/>
                  </w14:solidFill>
                </w14:textFill>
              </w:rPr>
              <w:br w:type="textWrapping"/>
            </w:r>
            <w:r>
              <w:rPr>
                <w:rFonts w:hint="eastAsia" w:ascii="宋体" w:hAnsi="宋体" w:cs="宋体"/>
                <w:color w:val="000000" w:themeColor="text1"/>
                <w:kern w:val="0"/>
                <w:sz w:val="20"/>
                <w:lang w:bidi="ar"/>
                <w14:textFill>
                  <w14:solidFill>
                    <w14:schemeClr w14:val="tx1"/>
                  </w14:solidFill>
                </w14:textFill>
              </w:rPr>
              <w:t>根据以上事项评判项目实施方案优劣，优秀得10分，良好7分，较差3分，不提供不得分。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10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themeColor="text1"/>
                <w:sz w:val="22"/>
                <w:szCs w:val="22"/>
                <w14:textFill>
                  <w14:solidFill>
                    <w14:schemeClr w14:val="tx1"/>
                  </w14:solidFill>
                </w14:textFill>
              </w:rPr>
            </w:pPr>
          </w:p>
        </w:tc>
      </w:tr>
    </w:tbl>
    <w:p>
      <w:pPr>
        <w:snapToGrid w:val="0"/>
        <w:spacing w:line="360" w:lineRule="auto"/>
        <w:ind w:firstLine="662" w:firstLineChars="300"/>
        <w:rPr>
          <w:rFonts w:ascii="仿宋_GB2312" w:hAnsi="宋体" w:eastAsia="仿宋_GB2312"/>
          <w:b/>
          <w:bCs/>
          <w:color w:val="000000" w:themeColor="text1"/>
          <w:sz w:val="22"/>
          <w:szCs w:val="28"/>
          <w14:textFill>
            <w14:solidFill>
              <w14:schemeClr w14:val="tx1"/>
            </w14:solidFill>
          </w14:textFill>
        </w:rPr>
      </w:pPr>
      <w:r>
        <w:rPr>
          <w:rFonts w:hint="eastAsia" w:ascii="仿宋_GB2312" w:hAnsi="宋体" w:eastAsia="仿宋_GB2312"/>
          <w:b/>
          <w:bCs/>
          <w:color w:val="000000" w:themeColor="text1"/>
          <w:sz w:val="22"/>
          <w:szCs w:val="28"/>
          <w14:textFill>
            <w14:solidFill>
              <w14:schemeClr w14:val="tx1"/>
            </w14:solidFill>
          </w14:textFill>
        </w:rPr>
        <w:t>*请根据上表制作评分索引表</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（五）拟签订的合同文本</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详见第四部分附件</w:t>
      </w:r>
      <w:r>
        <w:rPr>
          <w:rFonts w:ascii="仿宋_GB2312" w:hAnsi="宋体" w:eastAsia="仿宋_GB2312"/>
          <w:color w:val="000000" w:themeColor="text1"/>
          <w:sz w:val="28"/>
          <w14:textFill>
            <w14:solidFill>
              <w14:schemeClr w14:val="tx1"/>
            </w14:solidFill>
          </w14:textFill>
        </w:rPr>
        <w:t>5</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（六）其他说明</w:t>
      </w:r>
    </w:p>
    <w:p>
      <w:pPr>
        <w:snapToGrid w:val="0"/>
        <w:spacing w:line="360" w:lineRule="auto"/>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标段一：根据综合得分排名，入围前三名供应商签订框架协议。</w:t>
      </w:r>
    </w:p>
    <w:p>
      <w:pPr>
        <w:pStyle w:val="2"/>
        <w:snapToGrid w:val="0"/>
        <w:spacing w:after="0" w:line="360" w:lineRule="auto"/>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标段二：根据综合得分排名，入围前两名供应商签订框架协议。</w:t>
      </w:r>
    </w:p>
    <w:p>
      <w:pPr>
        <w:pStyle w:val="4"/>
        <w:keepNext w:val="0"/>
        <w:keepLines w:val="0"/>
        <w:snapToGrid w:val="0"/>
        <w:spacing w:before="0" w:after="0"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三、投标文件说明</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（一）要求</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1、投标人应仔细阅读招标文件的所有内容，按招标文件的要求提供投标文件，并保证所提供的全部资料的真实性，以使其投标对招标文件作出实质性响应，否则其投标可能被拒绝；</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2、除非有特殊要求，招标文件不单独提供招标设备（系统）或服务使用地的自然环境、气候条件、公用设施等情况，投标人被视为熟悉上述情况。</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（二）投标文件的组成</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投标文件应包括但不限于下列所列文件：</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1、法定代表人身份证明或法定代表人授权委托书（法定代表人参加投标，不用此委托书）。</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2、投标书</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必须按照本招标文件第四部分附件的格式要求制作，未经招标人书面同意，该格式不允许作任何修改。</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3、投标价格一览表（须另装，详见“投标文件的签署及规定”）</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应包括投标报价、维护承诺、其他重要补充事项等内容。</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4、服务内容描述</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投标人必须对“招标项目要求”逐个或分块地作出实质性响应，其响应应与招标文件内容采用相同的顺序，对每个需求的响应必须遵循如下规则：</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1）重复该需求；</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2）用“是/否”来表明该需求是否被满足；</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3）简要描述如何满足该需求，如果该响应在投标文件其他部分有详述，可在该处简单应答，但必须给出确切的位置索引；</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4）解释投标文件或投标方案与招标项目需求之间的偏差，用数量来表示的需求，必须用确切的数量单位来响应。</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5、项目实施计划</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应根据对项目需求的理解，提出详细、切实可行的项目实施计划及方案。</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6、售后服务计划</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应说明售后服务的内容、形式、收费标准；维护单位名称、地点、人员；服务响应时间等，并应包含免费维护期及期外的售后服务计划。</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7、投标人情况简介</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应包含投标人基本情况与背景资料、业务经营情况、最近三年类似相关项目实施情况、及投标人最新的经过审计的财务报表、相关内控制度及连续性方案等。</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8、投标人资格证明文件</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1）投标人营业执照复印件；</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2）若分公司参加投标的，需总公司的正式授权书（即签订合同只与有法人资格的公司签订）；</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3）生产厂商授权函；</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4）其他相关资格证明文件。</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9、供应商反腐败/反贿赂承诺书</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必须按照本招标文件第四部分附件6的格式要求制作，未经招标人书面同意，该格式不允许作任何修改。</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10、其他</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1）投标方实施其它银行此产品案例的合同复印件或加盖单位公章的产品定单；</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2）投标人自愿提供的其他全部文件；</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3）优惠条款的说明等。</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（三）投标文件的签署及规定</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投标人应准备一份正本、二份副本、一份电子档，正副本及电子档均不含报价单，另装一份密封投标报价单和一份投标保证金回执单（报价单与保证金回执分装）。在每一份投标文件上要明确注明“正本”、“副本”、“电子档”、“报价单”、“保证金回执单”字样，若正本和副本有差异以正本为准；</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 xml:space="preserve">2、投标文件正本、副本、报价单须统一用A4纸打印装订并由投标人法定代表人或授权代理人在正本封面上签章处签字并加盖公章、骑缝章； </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3、投标文件须标注页码，封面后的第一页为标书的目录，整本标书须标注统一的页码，成功案例合同等复印件可以手工填上统一的页码；</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4、除投标人对错漏处作必要修改外，投标文件中不许有加行、涂抹或改写。如有修改错漏处，必须由投标人法定代表人或授权代理人签字并加盖公章。</w:t>
      </w:r>
    </w:p>
    <w:p>
      <w:pPr>
        <w:pStyle w:val="4"/>
        <w:keepNext w:val="0"/>
        <w:keepLines w:val="0"/>
        <w:snapToGrid w:val="0"/>
        <w:spacing w:before="0" w:after="0"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四、投标文件的递交</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（一）投标文件的密封和递交</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投标人应将投标文件的正、副本、报价单和电子档、保证金回执单分别用非透明文件袋密封，在封签处加盖公章，并标明投标人名称、正本（或副本、报价单、电子档、回执单）招标编号、投标产品名称及项目联系人和联系电话；</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2、每一密封袋上注明“于开标前不准启封”的字样；</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3、投标价格表及其它各种承诺均须有法定代表人（或其委托的全权代表人）的签字、日期并加盖公章。</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（二）投标文件的修改和撤回</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1、投标人在提交投标文件后可对其投标文件进行补充、修改或撤回，但招标人须在投标截止时间之前收到该补充、修改或撤回的书面通知，该通知须经投标人的法定代表人或授权代理人签字并加盖公章；</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2、投标人对投标文件进行补充、修改的书面材料或撤回的通知应按本招标文件规定进行编写、密封、标注和递送，并注明“补充/修改投标文件”或“撤回投标”字样；</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3、投标截止时间以后不得对投标文件进行修改或补充。</w:t>
      </w:r>
    </w:p>
    <w:p>
      <w:pPr>
        <w:pStyle w:val="4"/>
        <w:keepNext w:val="0"/>
        <w:keepLines w:val="0"/>
        <w:snapToGrid w:val="0"/>
        <w:spacing w:before="0" w:after="0"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五、开标和评标</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（一）开标</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此次招标采用：本行评标专家组进行现场开标、评标。</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（二）评标因素</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1、招标人根据具体招标项目分类对每一个投标条件进行比较。对其内容进行分析比较：</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1）投标价格；</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2）投标方整体实力及成功案例总数；</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3）投标方技术方案、成功案例分析及产品特制设计；</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4）投标方技术实力（研发人员、售后服务能力）；</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5）投标方的资信情况和履约能力；</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6）投标方提供的其他优惠条件。</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（三）投标文件的审查</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1、开标后，招标人将组织审查投标文件是否完整，是否有计算错误，文件是否恰当地签署；</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2、在对投标文件进行详细评估之前，招标人将依据投标人提供的资格证明文件审查投标人的财务、技术和生产能力。如果确定投标人无能力提供设备（系统）和技术支持，其投标将被拒绝；</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3、招标人将确定每一投标是否对招标文件的要求作出了实质性的响应，而没有明显的偏离或保留；</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4、招标人判断投标文件的响应性仅基于投标文件本身而不靠外部证据；</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5、招标人将拒绝被确定为非实质性响应的投标，投标人不能通过修正或撤销不符之处而使其投标成为实质性响应的投标。</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（四）投标文件的澄清</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2、澄清应是书面的，并由法定代表人或其授权代理人签字；</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3、投标人的澄清文件是投标文件的组成部分，并取代投标文件中被澄清的部分；</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4、投标文件的澄清不得对投标内容进行实质性修改。</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（五）评标工作</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1、招标人将按照公开、公平、公正的原则对待所有投标方；</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 评标是招标工作的重要环节，评标工作在招标人内独立进行；</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3、招标人不承诺报价最低者为中标者；</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4、在投标、开标期间，投标人不得向招标人询问情况，不得进行旨在影响评标结果的活动，招标人保留对投标人进行疑问咨询的权力；</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5、在投标、评标过程中，如有投标人联合故意抬高报价或其他不正当行为，招标人有权中止投标或评标；</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6、江苏昆山农村商业银行股份有限公司保留对本次招标的最终解释权。</w:t>
      </w:r>
    </w:p>
    <w:p>
      <w:pPr>
        <w:pStyle w:val="4"/>
        <w:keepNext w:val="0"/>
        <w:keepLines w:val="0"/>
        <w:snapToGrid w:val="0"/>
        <w:spacing w:before="0" w:after="0"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六、中标与签署合同</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（一）定标原则</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招标人不承诺向投标方披露招标过程中任何细节，包括中标或落标原因。</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（二）中标通知</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1.定标后，招标人将发出中标通知；</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2.对落标的投标人不再另行发出落标通知；</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3.中标通知将作为招标人与中标人签订合同的依据之一。</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（三）签订合同</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1、招标人将按照招标文件和投标人的投标文件与中标人签订书面合同，签订合同之前，双方需对合同的具体细节进行商谈。</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2、招标人对有关内容有权作出必要的细化和补充，但有关细化和补充不得背离招标文件和投标文件的实质性内容。</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3、招标文件、中标方的投标文件及其澄清文件等，均为签订合同的依据。</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4、投标人同意按招标人的要求签定相关合同，</w:t>
      </w:r>
      <w:r>
        <w:rPr>
          <w:rFonts w:hint="eastAsia" w:ascii="仿宋_GB2312" w:hAnsi="宋体" w:eastAsia="仿宋_GB2312" w:cs="仿宋_GB2312"/>
          <w:color w:val="000000" w:themeColor="text1"/>
          <w:sz w:val="28"/>
          <w:szCs w:val="28"/>
          <w14:textFill>
            <w14:solidFill>
              <w14:schemeClr w14:val="tx1"/>
            </w14:solidFill>
          </w14:textFill>
        </w:rPr>
        <w:t>具体内容以实际签订的合同内容为准。</w:t>
      </w:r>
    </w:p>
    <w:p>
      <w:pPr>
        <w:spacing w:line="360" w:lineRule="auto"/>
        <w:ind w:firstLine="560" w:firstLineChars="200"/>
        <w:rPr>
          <w:rFonts w:ascii="仿宋_GB2312" w:hAnsi="宋体" w:eastAsia="仿宋_GB2312"/>
          <w:color w:val="000000" w:themeColor="text1"/>
          <w:sz w:val="28"/>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3"/>
        <w:keepNext w:val="0"/>
        <w:keepLines w:val="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第四部分</w:t>
      </w:r>
      <w:r>
        <w:rPr>
          <w:rFonts w:hint="eastAsia" w:ascii="黑体" w:hAnsi="黑体" w:eastAsia="黑体"/>
          <w:color w:val="000000" w:themeColor="text1"/>
          <w:sz w:val="32"/>
          <w:szCs w:val="32"/>
          <w14:textFill>
            <w14:solidFill>
              <w14:schemeClr w14:val="tx1"/>
            </w14:solidFill>
          </w14:textFill>
        </w:rPr>
        <w:tab/>
      </w:r>
      <w:r>
        <w:rPr>
          <w:rFonts w:hint="eastAsia" w:ascii="黑体" w:hAnsi="黑体" w:eastAsia="黑体"/>
          <w:color w:val="000000" w:themeColor="text1"/>
          <w:sz w:val="32"/>
          <w:szCs w:val="32"/>
          <w14:textFill>
            <w14:solidFill>
              <w14:schemeClr w14:val="tx1"/>
            </w14:solidFill>
          </w14:textFill>
        </w:rPr>
        <w:t>投标文件格式</w:t>
      </w:r>
    </w:p>
    <w:p>
      <w:pPr>
        <w:snapToGrid w:val="0"/>
        <w:spacing w:line="360" w:lineRule="auto"/>
        <w:outlineLvl w:val="1"/>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附件1：《投标书》</w:t>
      </w:r>
    </w:p>
    <w:p>
      <w:pPr>
        <w:pStyle w:val="7"/>
        <w:adjustRightInd w:val="0"/>
        <w:jc w:val="center"/>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投</w:t>
      </w:r>
      <w:r>
        <w:rPr>
          <w:rFonts w:hint="eastAsia" w:ascii="仿宋_GB2312" w:hAnsi="宋体" w:eastAsia="仿宋_GB2312"/>
          <w:snapToGrid w:val="0"/>
          <w:color w:val="000000" w:themeColor="text1"/>
          <w:sz w:val="28"/>
          <w:szCs w:val="28"/>
          <w14:textFill>
            <w14:solidFill>
              <w14:schemeClr w14:val="tx1"/>
            </w14:solidFill>
          </w14:textFill>
        </w:rPr>
        <w:tab/>
      </w:r>
      <w:r>
        <w:rPr>
          <w:rFonts w:ascii="仿宋_GB2312" w:hAnsi="宋体" w:eastAsia="仿宋_GB2312"/>
          <w:snapToGrid w:val="0"/>
          <w:color w:val="000000" w:themeColor="text1"/>
          <w:sz w:val="28"/>
          <w:szCs w:val="28"/>
          <w14:textFill>
            <w14:solidFill>
              <w14:schemeClr w14:val="tx1"/>
            </w14:solidFill>
          </w14:textFill>
        </w:rPr>
        <w:t>标</w:t>
      </w:r>
      <w:r>
        <w:rPr>
          <w:rFonts w:hint="eastAsia" w:ascii="仿宋_GB2312" w:hAnsi="宋体" w:eastAsia="仿宋_GB2312"/>
          <w:snapToGrid w:val="0"/>
          <w:color w:val="000000" w:themeColor="text1"/>
          <w:sz w:val="28"/>
          <w:szCs w:val="28"/>
          <w14:textFill>
            <w14:solidFill>
              <w14:schemeClr w14:val="tx1"/>
            </w14:solidFill>
          </w14:textFill>
        </w:rPr>
        <w:tab/>
      </w:r>
      <w:r>
        <w:rPr>
          <w:rFonts w:ascii="仿宋_GB2312" w:hAnsi="宋体" w:eastAsia="仿宋_GB2312"/>
          <w:snapToGrid w:val="0"/>
          <w:color w:val="000000" w:themeColor="text1"/>
          <w:sz w:val="28"/>
          <w:szCs w:val="28"/>
          <w14:textFill>
            <w14:solidFill>
              <w14:schemeClr w14:val="tx1"/>
            </w14:solidFill>
          </w14:textFill>
        </w:rPr>
        <w:t>书</w:t>
      </w:r>
    </w:p>
    <w:p>
      <w:pPr>
        <w:pStyle w:val="7"/>
        <w:adjustRightInd w:val="0"/>
        <w:rPr>
          <w:rFonts w:ascii="仿宋_GB2312" w:hAnsi="宋体" w:eastAsia="仿宋_GB2312"/>
          <w:b/>
          <w:snapToGrid w:val="0"/>
          <w:color w:val="000000" w:themeColor="text1"/>
          <w:sz w:val="28"/>
          <w:szCs w:val="28"/>
          <w14:textFill>
            <w14:solidFill>
              <w14:schemeClr w14:val="tx1"/>
            </w14:solidFill>
          </w14:textFill>
        </w:rPr>
      </w:pPr>
    </w:p>
    <w:p>
      <w:pPr>
        <w:pStyle w:val="7"/>
        <w:adjustRightInd w:val="0"/>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致：江苏</w:t>
      </w:r>
      <w:r>
        <w:rPr>
          <w:rFonts w:hint="eastAsia" w:ascii="仿宋_GB2312" w:hAnsi="宋体" w:eastAsia="仿宋_GB2312"/>
          <w:color w:val="000000" w:themeColor="text1"/>
          <w:sz w:val="28"/>
          <w14:textFill>
            <w14:solidFill>
              <w14:schemeClr w14:val="tx1"/>
            </w14:solidFill>
          </w14:textFill>
        </w:rPr>
        <w:t>昆山</w:t>
      </w:r>
      <w:r>
        <w:rPr>
          <w:rFonts w:ascii="仿宋_GB2312" w:hAnsi="宋体" w:eastAsia="仿宋_GB2312"/>
          <w:color w:val="000000" w:themeColor="text1"/>
          <w:sz w:val="28"/>
          <w14:textFill>
            <w14:solidFill>
              <w14:schemeClr w14:val="tx1"/>
            </w14:solidFill>
          </w14:textFill>
        </w:rPr>
        <w:t>农村商业银行股份有限公司</w:t>
      </w:r>
    </w:p>
    <w:p>
      <w:pPr>
        <w:autoSpaceDE w:val="0"/>
        <w:autoSpaceDN w:val="0"/>
        <w:adjustRightInd w:val="0"/>
        <w:ind w:firstLine="624"/>
        <w:jc w:val="lef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根据贵方       招标书，投标人              （投标人名称）提供相关文件并做出以下承诺：</w:t>
      </w:r>
    </w:p>
    <w:p>
      <w:pPr>
        <w:numPr>
          <w:ilvl w:val="0"/>
          <w:numId w:val="5"/>
        </w:numPr>
        <w:autoSpaceDE w:val="0"/>
        <w:autoSpaceDN w:val="0"/>
        <w:adjustRightInd w:val="0"/>
        <w:ind w:firstLine="624"/>
        <w:jc w:val="lef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招标文件规定的全部文件正本一份，副本二份，电子文档一份、报价单一份。</w:t>
      </w:r>
    </w:p>
    <w:p>
      <w:pPr>
        <w:autoSpaceDE w:val="0"/>
        <w:autoSpaceDN w:val="0"/>
        <w:adjustRightInd w:val="0"/>
        <w:ind w:firstLine="560" w:firstLineChars="200"/>
        <w:jc w:val="lef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二、投标人同意如下：</w:t>
      </w:r>
    </w:p>
    <w:p>
      <w:pPr>
        <w:adjustRightInd w:val="0"/>
        <w:ind w:firstLine="700" w:firstLineChars="25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1．投标人完全接受招标文件中的内容，并将按招标文件的规定履行义务，按相关法律法规履行投标人的全部责任；</w:t>
      </w:r>
    </w:p>
    <w:p>
      <w:pPr>
        <w:adjustRightInd w:val="0"/>
        <w:ind w:firstLine="700" w:firstLineChars="25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2.投标人己详细审查全部招标文件，包括修改文件以及全部参考资料和有关附件，无其他不明事项；</w:t>
      </w:r>
    </w:p>
    <w:p>
      <w:pPr>
        <w:adjustRightInd w:val="0"/>
        <w:ind w:firstLine="700" w:firstLineChars="25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3.投标人同意招标人要求的相关数据或资料，完全理解招标人在招标文件中确定的评标原则和程序，理解贵方不一定要接受最低报价的投标。</w:t>
      </w:r>
    </w:p>
    <w:p>
      <w:pPr>
        <w:adjustRightInd w:val="0"/>
        <w:ind w:firstLine="700" w:firstLineChars="25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三、投标方保证投标文件中所有关于投标资格的文件，证明陈述均是真实的、准确的。若有违背，投标方愿意承担由此而产生的一切后果。</w:t>
      </w:r>
    </w:p>
    <w:p>
      <w:pPr>
        <w:adjustRightInd w:val="0"/>
        <w:ind w:firstLine="624"/>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与本投标有关的一切正式信函请使用以下地址：</w:t>
      </w:r>
    </w:p>
    <w:p>
      <w:pPr>
        <w:pStyle w:val="7"/>
        <w:adjustRightInd w:val="0"/>
        <w:ind w:firstLine="624"/>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 xml:space="preserve">地址：                           </w:t>
      </w:r>
    </w:p>
    <w:p>
      <w:pPr>
        <w:pStyle w:val="7"/>
        <w:adjustRightInd w:val="0"/>
        <w:ind w:firstLine="624"/>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 xml:space="preserve">邮编：                           </w:t>
      </w:r>
    </w:p>
    <w:p>
      <w:pPr>
        <w:pStyle w:val="7"/>
        <w:adjustRightInd w:val="0"/>
        <w:ind w:firstLine="624"/>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 xml:space="preserve">电话：                           </w:t>
      </w:r>
    </w:p>
    <w:p>
      <w:pPr>
        <w:pStyle w:val="7"/>
        <w:adjustRightInd w:val="0"/>
        <w:ind w:firstLine="624"/>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 xml:space="preserve">传真：                           </w:t>
      </w:r>
    </w:p>
    <w:p>
      <w:pPr>
        <w:pStyle w:val="7"/>
        <w:adjustRightInd w:val="0"/>
        <w:ind w:firstLine="624"/>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 xml:space="preserve">投标人法定代表人姓名、职务（印刷体）：             </w:t>
      </w:r>
    </w:p>
    <w:p>
      <w:pPr>
        <w:pStyle w:val="7"/>
        <w:adjustRightInd w:val="0"/>
        <w:ind w:firstLine="624"/>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 xml:space="preserve">投标人名称：                       </w:t>
      </w:r>
    </w:p>
    <w:p>
      <w:pPr>
        <w:pStyle w:val="7"/>
        <w:adjustRightInd w:val="0"/>
        <w:ind w:firstLine="624"/>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 xml:space="preserve">单位公章：                       </w:t>
      </w:r>
    </w:p>
    <w:p>
      <w:pPr>
        <w:pStyle w:val="7"/>
        <w:adjustRightInd w:val="0"/>
        <w:ind w:firstLine="624"/>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 xml:space="preserve">法定代表人或授权代理人签字：                    </w:t>
      </w:r>
    </w:p>
    <w:p>
      <w:pPr>
        <w:autoSpaceDE w:val="0"/>
        <w:autoSpaceDN w:val="0"/>
        <w:adjustRightInd w:val="0"/>
        <w:ind w:firstLine="624"/>
        <w:jc w:val="lef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日期：      年     月     日</w:t>
      </w:r>
    </w:p>
    <w:p>
      <w:pPr>
        <w:snapToGrid w:val="0"/>
        <w:spacing w:line="360" w:lineRule="auto"/>
        <w:outlineLvl w:val="1"/>
        <w:rPr>
          <w:rFonts w:ascii="仿宋_GB2312" w:hAnsi="宋体" w:eastAsia="仿宋_GB2312"/>
          <w:color w:val="000000" w:themeColor="text1"/>
          <w:sz w:val="28"/>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napToGrid w:val="0"/>
        <w:spacing w:line="360" w:lineRule="auto"/>
        <w:outlineLvl w:val="1"/>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附件2：《投标人情况简介》</w:t>
      </w:r>
    </w:p>
    <w:p>
      <w:pPr>
        <w:pStyle w:val="7"/>
        <w:adjustRightInd w:val="0"/>
        <w:jc w:val="center"/>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投标人情况简介</w:t>
      </w:r>
    </w:p>
    <w:p>
      <w:pPr>
        <w:pStyle w:val="7"/>
        <w:adjustRightInd w:val="0"/>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1.名称和概况</w:t>
      </w:r>
    </w:p>
    <w:p>
      <w:pPr>
        <w:pStyle w:val="7"/>
        <w:adjustRightInd w:val="0"/>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投标人名称：</w:t>
      </w:r>
    </w:p>
    <w:p>
      <w:pPr>
        <w:pStyle w:val="7"/>
        <w:adjustRightInd w:val="0"/>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地址：邮编：</w:t>
      </w:r>
    </w:p>
    <w:p>
      <w:pPr>
        <w:pStyle w:val="7"/>
        <w:adjustRightInd w:val="0"/>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传真／电话：</w:t>
      </w:r>
    </w:p>
    <w:p>
      <w:pPr>
        <w:pStyle w:val="7"/>
        <w:adjustRightInd w:val="0"/>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成立日期或注册日期：</w:t>
      </w:r>
    </w:p>
    <w:p>
      <w:pPr>
        <w:pStyle w:val="7"/>
        <w:adjustRightInd w:val="0"/>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法定代表人或主要负责人姓名：</w:t>
      </w:r>
    </w:p>
    <w:p>
      <w:pPr>
        <w:pStyle w:val="7"/>
        <w:adjustRightInd w:val="0"/>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2．财务数据</w:t>
      </w:r>
    </w:p>
    <w:p>
      <w:pPr>
        <w:pStyle w:val="7"/>
        <w:adjustRightInd w:val="0"/>
        <w:rPr>
          <w:rFonts w:ascii="仿宋_GB2312" w:hAnsi="宋体" w:eastAsia="仿宋_GB2312"/>
          <w:snapToGrid w:val="0"/>
          <w:color w:val="000000" w:themeColor="text1"/>
          <w:sz w:val="28"/>
          <w:szCs w:val="28"/>
          <w:u w:val="single"/>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注册资本：</w:t>
      </w:r>
    </w:p>
    <w:p>
      <w:pPr>
        <w:pStyle w:val="7"/>
        <w:adjustRightInd w:val="0"/>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3．业绩或服务的情况</w:t>
      </w:r>
    </w:p>
    <w:p>
      <w:pPr>
        <w:pStyle w:val="7"/>
        <w:adjustRightInd w:val="0"/>
        <w:ind w:firstLine="280" w:firstLineChars="100"/>
        <w:rPr>
          <w:rFonts w:ascii="仿宋_GB2312" w:hAnsi="宋体" w:eastAsia="仿宋_GB2312"/>
          <w:snapToGrid w:val="0"/>
          <w:color w:val="000000" w:themeColor="text1"/>
          <w:sz w:val="28"/>
          <w:szCs w:val="28"/>
          <w14:textFill>
            <w14:solidFill>
              <w14:schemeClr w14:val="tx1"/>
            </w14:solidFill>
          </w14:textFill>
        </w:rPr>
      </w:pPr>
      <w:r>
        <w:rPr>
          <w:rFonts w:hint="eastAsia" w:ascii="仿宋_GB2312" w:hAnsi="宋体" w:eastAsia="仿宋_GB2312"/>
          <w:snapToGrid w:val="0"/>
          <w:color w:val="000000" w:themeColor="text1"/>
          <w:sz w:val="28"/>
          <w:szCs w:val="28"/>
          <w14:textFill>
            <w14:solidFill>
              <w14:schemeClr w14:val="tx1"/>
            </w14:solidFill>
          </w14:textFill>
        </w:rPr>
        <w:t>2022</w:t>
      </w:r>
      <w:r>
        <w:rPr>
          <w:rFonts w:ascii="仿宋_GB2312" w:hAnsi="宋体" w:eastAsia="仿宋_GB2312"/>
          <w:snapToGrid w:val="0"/>
          <w:color w:val="000000" w:themeColor="text1"/>
          <w:sz w:val="28"/>
          <w:szCs w:val="28"/>
          <w14:textFill>
            <w14:solidFill>
              <w14:schemeClr w14:val="tx1"/>
            </w14:solidFill>
          </w14:textFill>
        </w:rPr>
        <w:t>年</w:t>
      </w:r>
      <w:r>
        <w:rPr>
          <w:rFonts w:hint="eastAsia" w:ascii="仿宋_GB2312" w:hAnsi="宋体" w:eastAsia="仿宋_GB2312"/>
          <w:snapToGrid w:val="0"/>
          <w:color w:val="000000" w:themeColor="text1"/>
          <w:sz w:val="28"/>
          <w:szCs w:val="28"/>
          <w14:textFill>
            <w14:solidFill>
              <w14:schemeClr w14:val="tx1"/>
            </w14:solidFill>
          </w14:textFill>
        </w:rPr>
        <w:t>（含）</w:t>
      </w:r>
      <w:r>
        <w:rPr>
          <w:rFonts w:ascii="仿宋_GB2312" w:hAnsi="宋体" w:eastAsia="仿宋_GB2312"/>
          <w:snapToGrid w:val="0"/>
          <w:color w:val="000000" w:themeColor="text1"/>
          <w:sz w:val="28"/>
          <w:szCs w:val="28"/>
          <w14:textFill>
            <w14:solidFill>
              <w14:schemeClr w14:val="tx1"/>
            </w14:solidFill>
          </w14:textFill>
        </w:rPr>
        <w:t xml:space="preserve">至今国内外主要用户的名称和地址： </w:t>
      </w:r>
    </w:p>
    <w:p>
      <w:pPr>
        <w:pStyle w:val="7"/>
        <w:tabs>
          <w:tab w:val="left" w:pos="360"/>
        </w:tabs>
        <w:adjustRightInd w:val="0"/>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本次投标或服务在国内金融行业的应用情况（如有的话）：</w:t>
      </w:r>
    </w:p>
    <w:p>
      <w:pPr>
        <w:pStyle w:val="7"/>
        <w:tabs>
          <w:tab w:val="left" w:pos="0"/>
        </w:tabs>
        <w:adjustRightInd w:val="0"/>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4.</w:t>
      </w:r>
      <w:r>
        <w:rPr>
          <w:rFonts w:hint="eastAsia" w:ascii="仿宋_GB2312" w:hAnsi="宋体" w:eastAsia="仿宋_GB2312"/>
          <w:snapToGrid w:val="0"/>
          <w:color w:val="000000" w:themeColor="text1"/>
          <w:sz w:val="28"/>
          <w:szCs w:val="28"/>
          <w14:textFill>
            <w14:solidFill>
              <w14:schemeClr w14:val="tx1"/>
            </w14:solidFill>
          </w14:textFill>
        </w:rPr>
        <w:t xml:space="preserve"> 2022</w:t>
      </w:r>
      <w:r>
        <w:rPr>
          <w:rFonts w:ascii="仿宋_GB2312" w:hAnsi="宋体" w:eastAsia="仿宋_GB2312"/>
          <w:snapToGrid w:val="0"/>
          <w:color w:val="000000" w:themeColor="text1"/>
          <w:sz w:val="28"/>
          <w:szCs w:val="28"/>
          <w14:textFill>
            <w14:solidFill>
              <w14:schemeClr w14:val="tx1"/>
            </w14:solidFill>
          </w14:textFill>
        </w:rPr>
        <w:t>年</w:t>
      </w:r>
      <w:r>
        <w:rPr>
          <w:rFonts w:hint="eastAsia" w:ascii="仿宋_GB2312" w:hAnsi="宋体" w:eastAsia="仿宋_GB2312"/>
          <w:snapToGrid w:val="0"/>
          <w:color w:val="000000" w:themeColor="text1"/>
          <w:sz w:val="28"/>
          <w:szCs w:val="28"/>
          <w14:textFill>
            <w14:solidFill>
              <w14:schemeClr w14:val="tx1"/>
            </w14:solidFill>
          </w14:textFill>
        </w:rPr>
        <w:t>（含）</w:t>
      </w:r>
      <w:r>
        <w:rPr>
          <w:rFonts w:ascii="仿宋_GB2312" w:hAnsi="宋体" w:eastAsia="仿宋_GB2312"/>
          <w:snapToGrid w:val="0"/>
          <w:color w:val="000000" w:themeColor="text1"/>
          <w:sz w:val="28"/>
          <w:szCs w:val="28"/>
          <w14:textFill>
            <w14:solidFill>
              <w14:schemeClr w14:val="tx1"/>
            </w14:solidFill>
          </w14:textFill>
        </w:rPr>
        <w:t>至今投标人是否受到过监管机关的处罚？是否有重大涉诉法律纠纷？如有，请列明原因及相关情况。</w:t>
      </w:r>
    </w:p>
    <w:p>
      <w:pPr>
        <w:pStyle w:val="7"/>
        <w:tabs>
          <w:tab w:val="left" w:pos="360"/>
        </w:tabs>
        <w:adjustRightInd w:val="0"/>
        <w:rPr>
          <w:rFonts w:ascii="仿宋_GB2312" w:hAnsi="宋体" w:eastAsia="仿宋_GB2312"/>
          <w:snapToGrid w:val="0"/>
          <w:color w:val="000000" w:themeColor="text1"/>
          <w:sz w:val="28"/>
          <w:szCs w:val="28"/>
          <w:u w:val="single"/>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5.所属集团（如有的话）：</w:t>
      </w:r>
    </w:p>
    <w:p>
      <w:pPr>
        <w:pStyle w:val="7"/>
        <w:tabs>
          <w:tab w:val="left" w:pos="360"/>
        </w:tabs>
        <w:adjustRightInd w:val="0"/>
        <w:rPr>
          <w:rFonts w:ascii="仿宋_GB2312" w:hAnsi="宋体" w:eastAsia="仿宋_GB2312"/>
          <w:snapToGrid w:val="0"/>
          <w:color w:val="000000" w:themeColor="text1"/>
          <w:sz w:val="28"/>
          <w:szCs w:val="28"/>
          <w14:textFill>
            <w14:solidFill>
              <w14:schemeClr w14:val="tx1"/>
            </w14:solidFill>
          </w14:textFill>
        </w:rPr>
      </w:pPr>
      <w:r>
        <w:rPr>
          <w:rFonts w:hint="eastAsia" w:ascii="仿宋_GB2312" w:hAnsi="宋体" w:eastAsia="仿宋_GB2312"/>
          <w:snapToGrid w:val="0"/>
          <w:color w:val="000000" w:themeColor="text1"/>
          <w:sz w:val="28"/>
          <w:szCs w:val="28"/>
          <w14:textFill>
            <w14:solidFill>
              <w14:schemeClr w14:val="tx1"/>
            </w14:solidFill>
          </w14:textFill>
        </w:rPr>
        <w:t>6.其它情况</w:t>
      </w:r>
      <w:r>
        <w:rPr>
          <w:rFonts w:ascii="仿宋_GB2312" w:hAnsi="宋体" w:eastAsia="仿宋_GB2312"/>
          <w:snapToGrid w:val="0"/>
          <w:color w:val="000000" w:themeColor="text1"/>
          <w:sz w:val="28"/>
          <w:szCs w:val="28"/>
          <w14:textFill>
            <w14:solidFill>
              <w14:schemeClr w14:val="tx1"/>
            </w14:solidFill>
          </w14:textFill>
        </w:rPr>
        <w:t>（组织、机构、技术力量、参与本产品的实施人员情况等）</w:t>
      </w:r>
    </w:p>
    <w:p>
      <w:pPr>
        <w:snapToGrid w:val="0"/>
        <w:spacing w:line="360" w:lineRule="auto"/>
        <w:outlineLvl w:val="1"/>
        <w:rPr>
          <w:rFonts w:ascii="仿宋_GB2312" w:hAnsi="宋体" w:eastAsia="仿宋_GB2312"/>
          <w:color w:val="000000" w:themeColor="text1"/>
          <w:sz w:val="28"/>
          <w:szCs w:val="28"/>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napToGrid w:val="0"/>
        <w:spacing w:line="360" w:lineRule="auto"/>
        <w:outlineLvl w:val="1"/>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附件3：《法定代表人委托书》</w:t>
      </w:r>
    </w:p>
    <w:p>
      <w:pPr>
        <w:tabs>
          <w:tab w:val="left" w:pos="8280"/>
        </w:tabs>
        <w:spacing w:line="360" w:lineRule="auto"/>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snapToGrid w:val="0"/>
          <w:color w:val="000000" w:themeColor="text1"/>
          <w:sz w:val="28"/>
          <w14:textFill>
            <w14:solidFill>
              <w14:schemeClr w14:val="tx1"/>
            </w14:solidFill>
          </w14:textFill>
        </w:rPr>
        <w:t>江苏昆山农村商业银行股份有限公司</w:t>
      </w:r>
      <w:r>
        <w:rPr>
          <w:rFonts w:hint="eastAsia" w:ascii="仿宋_GB2312" w:eastAsia="仿宋_GB2312"/>
          <w:color w:val="000000" w:themeColor="text1"/>
          <w:sz w:val="28"/>
          <w:szCs w:val="28"/>
          <w14:textFill>
            <w14:solidFill>
              <w14:schemeClr w14:val="tx1"/>
            </w14:solidFill>
          </w14:textFill>
        </w:rPr>
        <w:t>：</w:t>
      </w:r>
    </w:p>
    <w:p>
      <w:pPr>
        <w:tabs>
          <w:tab w:val="left" w:pos="8280"/>
        </w:tabs>
        <w:spacing w:line="360" w:lineRule="auto"/>
        <w:ind w:firstLine="48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兹委托</w:t>
      </w:r>
      <w:r>
        <w:rPr>
          <w:rFonts w:hint="eastAsia" w:ascii="仿宋_GB2312" w:eastAsia="仿宋_GB2312"/>
          <w:color w:val="000000" w:themeColor="text1"/>
          <w:sz w:val="28"/>
          <w:szCs w:val="28"/>
          <w:u w:val="single"/>
          <w14:textFill>
            <w14:solidFill>
              <w14:schemeClr w14:val="tx1"/>
            </w14:solidFill>
          </w14:textFill>
        </w:rPr>
        <w:t xml:space="preserve">         (代理人姓名)</w:t>
      </w:r>
      <w:r>
        <w:rPr>
          <w:rFonts w:hint="eastAsia" w:ascii="仿宋_GB2312" w:eastAsia="仿宋_GB2312"/>
          <w:color w:val="000000" w:themeColor="text1"/>
          <w:sz w:val="28"/>
          <w:szCs w:val="28"/>
          <w14:textFill>
            <w14:solidFill>
              <w14:schemeClr w14:val="tx1"/>
            </w14:solidFill>
          </w14:textFill>
        </w:rPr>
        <w:t>参加贵单位组织的招标活动，全权代表我单位处理投标的有关事宜。</w:t>
      </w:r>
    </w:p>
    <w:p>
      <w:pPr>
        <w:tabs>
          <w:tab w:val="left" w:pos="8280"/>
        </w:tabs>
        <w:spacing w:line="360" w:lineRule="auto"/>
        <w:ind w:firstLine="48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附全权代表情况：</w:t>
      </w:r>
    </w:p>
    <w:p>
      <w:pPr>
        <w:tabs>
          <w:tab w:val="left" w:pos="8280"/>
        </w:tabs>
        <w:spacing w:line="360" w:lineRule="auto"/>
        <w:ind w:firstLine="480"/>
        <w:rPr>
          <w:rFonts w:ascii="仿宋_GB2312" w:eastAsia="仿宋_GB2312"/>
          <w:color w:val="000000" w:themeColor="text1"/>
          <w:sz w:val="28"/>
          <w:szCs w:val="28"/>
          <w:u w:val="single"/>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姓名： 性别：年龄：职务：</w:t>
      </w:r>
    </w:p>
    <w:p>
      <w:pPr>
        <w:tabs>
          <w:tab w:val="left" w:pos="8280"/>
        </w:tabs>
        <w:spacing w:line="360" w:lineRule="auto"/>
        <w:ind w:firstLine="48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身份证号码：</w:t>
      </w:r>
    </w:p>
    <w:p>
      <w:pPr>
        <w:tabs>
          <w:tab w:val="left" w:pos="8280"/>
        </w:tabs>
        <w:spacing w:line="360" w:lineRule="auto"/>
        <w:ind w:firstLine="48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详细通讯地址： </w:t>
      </w:r>
    </w:p>
    <w:p>
      <w:pPr>
        <w:tabs>
          <w:tab w:val="left" w:pos="8280"/>
        </w:tabs>
        <w:spacing w:line="360" w:lineRule="auto"/>
        <w:ind w:firstLine="48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电话：传真：</w:t>
      </w:r>
    </w:p>
    <w:p>
      <w:pPr>
        <w:tabs>
          <w:tab w:val="left" w:pos="8280"/>
        </w:tabs>
        <w:spacing w:line="360" w:lineRule="auto"/>
        <w:ind w:firstLine="48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邮政编码：</w:t>
      </w:r>
    </w:p>
    <w:p>
      <w:pPr>
        <w:tabs>
          <w:tab w:val="left" w:pos="8280"/>
        </w:tabs>
        <w:spacing w:line="360" w:lineRule="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单位名称（公章）                        法定代表人（签字）</w:t>
      </w:r>
    </w:p>
    <w:p>
      <w:pPr>
        <w:tabs>
          <w:tab w:val="left" w:pos="8280"/>
        </w:tabs>
        <w:spacing w:line="360" w:lineRule="auto"/>
        <w:ind w:firstLine="57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年   月   日                         年   月    日     </w:t>
      </w:r>
    </w:p>
    <w:p>
      <w:pPr>
        <w:tabs>
          <w:tab w:val="left" w:pos="8280"/>
        </w:tabs>
        <w:rPr>
          <w:rFonts w:ascii="仿宋_GB2312" w:hAnsi="宋体"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（说明：法定代表人参加投标，不用此委托书）</w:t>
      </w: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napToGrid w:val="0"/>
        <w:spacing w:line="360" w:lineRule="auto"/>
        <w:outlineLvl w:val="1"/>
        <w:rPr>
          <w:rFonts w:ascii="仿宋" w:hAnsi="仿宋" w:eastAsia="仿宋"/>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附件4：《投标价格一览表》</w:t>
      </w:r>
      <w:r>
        <w:rPr>
          <w:rFonts w:hint="eastAsia" w:ascii="仿宋" w:hAnsi="仿宋" w:eastAsia="仿宋"/>
          <w:color w:val="000000" w:themeColor="text1"/>
          <w:sz w:val="28"/>
          <w:szCs w:val="28"/>
          <w14:textFill>
            <w14:solidFill>
              <w14:schemeClr w14:val="tx1"/>
            </w14:solidFill>
          </w14:textFill>
        </w:rPr>
        <w:t xml:space="preserve"> </w:t>
      </w:r>
    </w:p>
    <w:p>
      <w:pPr>
        <w:jc w:val="center"/>
        <w:rPr>
          <w:rFonts w:ascii="仿宋_GB2312" w:hAnsi="仿宋" w:eastAsia="仿宋_GB2312"/>
          <w:b/>
          <w:color w:val="000000" w:themeColor="text1"/>
          <w:sz w:val="32"/>
          <w:szCs w:val="28"/>
          <w14:textFill>
            <w14:solidFill>
              <w14:schemeClr w14:val="tx1"/>
            </w14:solidFill>
          </w14:textFill>
        </w:rPr>
      </w:pPr>
      <w:r>
        <w:rPr>
          <w:rFonts w:hint="eastAsia" w:ascii="仿宋_GB2312" w:hAnsi="仿宋" w:eastAsia="仿宋_GB2312"/>
          <w:b/>
          <w:color w:val="000000" w:themeColor="text1"/>
          <w:sz w:val="32"/>
          <w:szCs w:val="28"/>
          <w14:textFill>
            <w14:solidFill>
              <w14:schemeClr w14:val="tx1"/>
            </w14:solidFill>
          </w14:textFill>
        </w:rPr>
        <w:t>投标价格一览表</w:t>
      </w:r>
    </w:p>
    <w:p>
      <w:pPr>
        <w:rPr>
          <w:rFonts w:ascii="仿宋_GB2312" w:hAnsi="宋体" w:eastAsia="仿宋_GB2312"/>
          <w:color w:val="000000" w:themeColor="text1"/>
          <w:sz w:val="28"/>
          <w:szCs w:val="28"/>
          <w:u w:val="single"/>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1、投标单位名称：</w:t>
      </w:r>
      <w:r>
        <w:rPr>
          <w:rFonts w:hint="eastAsia" w:ascii="仿宋_GB2312" w:hAnsi="宋体" w:eastAsia="仿宋_GB2312"/>
          <w:color w:val="000000" w:themeColor="text1"/>
          <w:sz w:val="28"/>
          <w:szCs w:val="28"/>
          <w:u w:val="single"/>
          <w14:textFill>
            <w14:solidFill>
              <w14:schemeClr w14:val="tx1"/>
            </w14:solidFill>
          </w14:textFill>
        </w:rPr>
        <w:t xml:space="preserve">                               </w:t>
      </w:r>
    </w:p>
    <w:p>
      <w:pPr>
        <w:rPr>
          <w:rFonts w:ascii="仿宋_GB2312" w:eastAsia="仿宋_GB2312"/>
          <w:b/>
          <w:color w:val="000000" w:themeColor="text1"/>
          <w:sz w:val="28"/>
          <w:szCs w:val="28"/>
          <w:u w:val="single"/>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2、投标项目名称：</w:t>
      </w:r>
      <w:r>
        <w:rPr>
          <w:rFonts w:hint="eastAsia" w:ascii="仿宋_GB2312" w:eastAsia="仿宋_GB2312"/>
          <w:color w:val="000000" w:themeColor="text1"/>
          <w:sz w:val="28"/>
          <w:szCs w:val="28"/>
          <w:u w:val="single"/>
          <w14:textFill>
            <w14:solidFill>
              <w14:schemeClr w14:val="tx1"/>
            </w14:solidFill>
          </w14:textFill>
        </w:rPr>
        <w:t xml:space="preserve">                               </w:t>
      </w:r>
    </w:p>
    <w:p>
      <w:pP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3、本项目报价：</w:t>
      </w:r>
    </w:p>
    <w:p>
      <w:pPr>
        <w:pStyle w:val="2"/>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标段一：安全众测服务</w:t>
      </w:r>
    </w:p>
    <w:tbl>
      <w:tblPr>
        <w:tblStyle w:val="13"/>
        <w:tblW w:w="4404"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700"/>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82" w:type="pct"/>
            <w:vAlign w:val="center"/>
          </w:tcPr>
          <w:p>
            <w:pPr>
              <w:spacing w:line="360" w:lineRule="auto"/>
              <w:jc w:val="center"/>
              <w:rPr>
                <w:rFonts w:ascii="仿宋" w:hAnsi="仿宋" w:eastAsia="仿宋"/>
                <w:color w:val="000000" w:themeColor="text1"/>
                <w:sz w:val="24"/>
                <w:szCs w:val="22"/>
                <w14:textFill>
                  <w14:solidFill>
                    <w14:schemeClr w14:val="tx1"/>
                  </w14:solidFill>
                </w14:textFill>
              </w:rPr>
            </w:pPr>
            <w:r>
              <w:rPr>
                <w:rFonts w:hint="eastAsia" w:ascii="仿宋" w:hAnsi="仿宋" w:eastAsia="仿宋"/>
                <w:color w:val="000000" w:themeColor="text1"/>
                <w:sz w:val="24"/>
                <w:szCs w:val="22"/>
                <w14:textFill>
                  <w14:solidFill>
                    <w14:schemeClr w14:val="tx1"/>
                  </w14:solidFill>
                </w14:textFill>
              </w:rPr>
              <w:t>项目</w:t>
            </w:r>
          </w:p>
        </w:tc>
        <w:tc>
          <w:tcPr>
            <w:tcW w:w="1132" w:type="pct"/>
            <w:vAlign w:val="center"/>
          </w:tcPr>
          <w:p>
            <w:pPr>
              <w:spacing w:line="360" w:lineRule="auto"/>
              <w:jc w:val="center"/>
              <w:rPr>
                <w:rFonts w:ascii="仿宋" w:hAnsi="仿宋" w:eastAsia="仿宋"/>
                <w:color w:val="000000" w:themeColor="text1"/>
                <w:sz w:val="24"/>
                <w:szCs w:val="22"/>
                <w14:textFill>
                  <w14:solidFill>
                    <w14:schemeClr w14:val="tx1"/>
                  </w14:solidFill>
                </w14:textFill>
              </w:rPr>
            </w:pPr>
            <w:r>
              <w:rPr>
                <w:rFonts w:hint="eastAsia" w:ascii="仿宋" w:hAnsi="仿宋" w:eastAsia="仿宋"/>
                <w:color w:val="000000" w:themeColor="text1"/>
                <w:sz w:val="24"/>
                <w:szCs w:val="22"/>
                <w14:textFill>
                  <w14:solidFill>
                    <w14:schemeClr w14:val="tx1"/>
                  </w14:solidFill>
                </w14:textFill>
              </w:rPr>
              <w:t>单位</w:t>
            </w:r>
          </w:p>
        </w:tc>
        <w:tc>
          <w:tcPr>
            <w:tcW w:w="1886" w:type="pct"/>
            <w:vAlign w:val="center"/>
          </w:tcPr>
          <w:p>
            <w:pPr>
              <w:spacing w:line="360" w:lineRule="auto"/>
              <w:jc w:val="center"/>
              <w:rPr>
                <w:rFonts w:ascii="仿宋" w:hAnsi="仿宋" w:eastAsia="仿宋"/>
                <w:color w:val="000000" w:themeColor="text1"/>
                <w:sz w:val="24"/>
                <w:szCs w:val="22"/>
                <w14:textFill>
                  <w14:solidFill>
                    <w14:schemeClr w14:val="tx1"/>
                  </w14:solidFill>
                </w14:textFill>
              </w:rPr>
            </w:pPr>
            <w:r>
              <w:rPr>
                <w:rFonts w:hint="eastAsia" w:ascii="仿宋" w:hAnsi="仿宋" w:eastAsia="仿宋"/>
                <w:color w:val="000000" w:themeColor="text1"/>
                <w:sz w:val="24"/>
                <w:szCs w:val="22"/>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2" w:type="pct"/>
            <w:vAlign w:val="center"/>
          </w:tcPr>
          <w:p>
            <w:pPr>
              <w:spacing w:line="360" w:lineRule="auto"/>
              <w:jc w:val="center"/>
              <w:rPr>
                <w:rFonts w:ascii="仿宋" w:hAnsi="仿宋" w:eastAsia="仿宋"/>
                <w:color w:val="000000" w:themeColor="text1"/>
                <w:sz w:val="24"/>
                <w:szCs w:val="22"/>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高危漏洞挖掘服务</w:t>
            </w:r>
          </w:p>
        </w:tc>
        <w:tc>
          <w:tcPr>
            <w:tcW w:w="1132" w:type="pct"/>
            <w:vAlign w:val="center"/>
          </w:tcPr>
          <w:p>
            <w:pPr>
              <w:spacing w:line="360" w:lineRule="auto"/>
              <w:jc w:val="center"/>
              <w:rPr>
                <w:rFonts w:ascii="仿宋" w:hAnsi="仿宋" w:eastAsia="仿宋"/>
                <w:color w:val="000000" w:themeColor="text1"/>
                <w:sz w:val="24"/>
                <w:szCs w:val="22"/>
                <w14:textFill>
                  <w14:solidFill>
                    <w14:schemeClr w14:val="tx1"/>
                  </w14:solidFill>
                </w14:textFill>
              </w:rPr>
            </w:pPr>
            <w:r>
              <w:rPr>
                <w:rFonts w:hint="eastAsia" w:ascii="仿宋" w:hAnsi="仿宋" w:eastAsia="仿宋"/>
                <w:color w:val="000000" w:themeColor="text1"/>
                <w:sz w:val="24"/>
                <w:szCs w:val="22"/>
                <w14:textFill>
                  <w14:solidFill>
                    <w14:schemeClr w14:val="tx1"/>
                  </w14:solidFill>
                </w14:textFill>
              </w:rPr>
              <w:t>元/个</w:t>
            </w:r>
          </w:p>
        </w:tc>
        <w:tc>
          <w:tcPr>
            <w:tcW w:w="1886" w:type="pct"/>
            <w:vAlign w:val="center"/>
          </w:tcPr>
          <w:p>
            <w:pPr>
              <w:spacing w:line="360" w:lineRule="auto"/>
              <w:jc w:val="center"/>
              <w:rPr>
                <w:rFonts w:ascii="仿宋" w:hAnsi="仿宋" w:eastAsia="仿宋"/>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2" w:type="pct"/>
            <w:vAlign w:val="center"/>
          </w:tcPr>
          <w:p>
            <w:pPr>
              <w:spacing w:line="360" w:lineRule="auto"/>
              <w:jc w:val="center"/>
              <w:rPr>
                <w:rFonts w:ascii="仿宋" w:hAnsi="仿宋" w:eastAsia="仿宋"/>
                <w:color w:val="000000" w:themeColor="text1"/>
                <w:sz w:val="24"/>
                <w:szCs w:val="22"/>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中危漏洞挖掘服务</w:t>
            </w:r>
          </w:p>
        </w:tc>
        <w:tc>
          <w:tcPr>
            <w:tcW w:w="1132" w:type="pct"/>
            <w:vAlign w:val="center"/>
          </w:tcPr>
          <w:p>
            <w:pPr>
              <w:spacing w:line="360" w:lineRule="auto"/>
              <w:jc w:val="center"/>
              <w:rPr>
                <w:rFonts w:ascii="仿宋" w:hAnsi="仿宋" w:eastAsia="仿宋"/>
                <w:color w:val="000000" w:themeColor="text1"/>
                <w:sz w:val="24"/>
                <w:szCs w:val="22"/>
                <w14:textFill>
                  <w14:solidFill>
                    <w14:schemeClr w14:val="tx1"/>
                  </w14:solidFill>
                </w14:textFill>
              </w:rPr>
            </w:pPr>
            <w:r>
              <w:rPr>
                <w:rFonts w:hint="eastAsia" w:ascii="仿宋" w:hAnsi="仿宋" w:eastAsia="仿宋"/>
                <w:color w:val="000000" w:themeColor="text1"/>
                <w:sz w:val="24"/>
                <w:szCs w:val="22"/>
                <w14:textFill>
                  <w14:solidFill>
                    <w14:schemeClr w14:val="tx1"/>
                  </w14:solidFill>
                </w14:textFill>
              </w:rPr>
              <w:t>元/个</w:t>
            </w:r>
          </w:p>
        </w:tc>
        <w:tc>
          <w:tcPr>
            <w:tcW w:w="1886" w:type="pct"/>
            <w:vAlign w:val="center"/>
          </w:tcPr>
          <w:p>
            <w:pPr>
              <w:spacing w:line="360" w:lineRule="auto"/>
              <w:jc w:val="center"/>
              <w:rPr>
                <w:rFonts w:ascii="仿宋" w:hAnsi="仿宋" w:eastAsia="仿宋"/>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2" w:type="pct"/>
            <w:vAlign w:val="center"/>
          </w:tcPr>
          <w:p>
            <w:pPr>
              <w:spacing w:line="360" w:lineRule="auto"/>
              <w:jc w:val="center"/>
              <w:rPr>
                <w:rFonts w:ascii="仿宋" w:hAnsi="仿宋" w:eastAsia="仿宋"/>
                <w:color w:val="000000" w:themeColor="text1"/>
                <w:sz w:val="24"/>
                <w:szCs w:val="22"/>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低危漏洞挖掘服务</w:t>
            </w:r>
          </w:p>
        </w:tc>
        <w:tc>
          <w:tcPr>
            <w:tcW w:w="1132" w:type="pct"/>
            <w:vAlign w:val="center"/>
          </w:tcPr>
          <w:p>
            <w:pPr>
              <w:spacing w:line="360" w:lineRule="auto"/>
              <w:jc w:val="center"/>
              <w:rPr>
                <w:rFonts w:ascii="仿宋" w:hAnsi="仿宋" w:eastAsia="仿宋"/>
                <w:color w:val="000000" w:themeColor="text1"/>
                <w:sz w:val="24"/>
                <w:szCs w:val="22"/>
                <w14:textFill>
                  <w14:solidFill>
                    <w14:schemeClr w14:val="tx1"/>
                  </w14:solidFill>
                </w14:textFill>
              </w:rPr>
            </w:pPr>
            <w:r>
              <w:rPr>
                <w:rFonts w:hint="eastAsia" w:ascii="仿宋" w:hAnsi="仿宋" w:eastAsia="仿宋"/>
                <w:color w:val="000000" w:themeColor="text1"/>
                <w:sz w:val="24"/>
                <w:szCs w:val="22"/>
                <w14:textFill>
                  <w14:solidFill>
                    <w14:schemeClr w14:val="tx1"/>
                  </w14:solidFill>
                </w14:textFill>
              </w:rPr>
              <w:t>元/个</w:t>
            </w:r>
          </w:p>
        </w:tc>
        <w:tc>
          <w:tcPr>
            <w:tcW w:w="1886" w:type="pct"/>
            <w:vAlign w:val="center"/>
          </w:tcPr>
          <w:p>
            <w:pPr>
              <w:spacing w:line="360" w:lineRule="auto"/>
              <w:jc w:val="center"/>
              <w:rPr>
                <w:rFonts w:ascii="仿宋" w:hAnsi="仿宋" w:eastAsia="仿宋"/>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2" w:type="pct"/>
            <w:vAlign w:val="center"/>
          </w:tcPr>
          <w:p>
            <w:pPr>
              <w:spacing w:line="360" w:lineRule="auto"/>
              <w:jc w:val="center"/>
              <w:rPr>
                <w:rFonts w:ascii="仿宋" w:hAnsi="仿宋" w:eastAsia="仿宋"/>
                <w:color w:val="000000" w:themeColor="text1"/>
                <w:sz w:val="24"/>
                <w:szCs w:val="22"/>
                <w14:textFill>
                  <w14:solidFill>
                    <w14:schemeClr w14:val="tx1"/>
                  </w14:solidFill>
                </w14:textFill>
              </w:rPr>
            </w:pPr>
            <w:r>
              <w:rPr>
                <w:rFonts w:hint="eastAsia" w:ascii="仿宋" w:hAnsi="仿宋" w:eastAsia="仿宋"/>
                <w:color w:val="000000" w:themeColor="text1"/>
                <w:sz w:val="24"/>
                <w:szCs w:val="22"/>
                <w14:textFill>
                  <w14:solidFill>
                    <w14:schemeClr w14:val="tx1"/>
                  </w14:solidFill>
                </w14:textFill>
              </w:rPr>
              <w:t>投标单价之和(元)</w:t>
            </w:r>
          </w:p>
        </w:tc>
        <w:tc>
          <w:tcPr>
            <w:tcW w:w="3018" w:type="pct"/>
            <w:gridSpan w:val="2"/>
            <w:vAlign w:val="center"/>
          </w:tcPr>
          <w:p>
            <w:pPr>
              <w:spacing w:line="480" w:lineRule="auto"/>
              <w:ind w:firstLine="480" w:firstLineChars="200"/>
              <w:jc w:val="left"/>
              <w:rPr>
                <w:rFonts w:ascii="仿宋" w:hAnsi="仿宋" w:eastAsia="仿宋"/>
                <w:color w:val="000000" w:themeColor="text1"/>
                <w:sz w:val="24"/>
                <w:szCs w:val="22"/>
                <w14:textFill>
                  <w14:solidFill>
                    <w14:schemeClr w14:val="tx1"/>
                  </w14:solidFill>
                </w14:textFill>
              </w:rPr>
            </w:pPr>
          </w:p>
        </w:tc>
      </w:tr>
    </w:tbl>
    <w:p>
      <w:pPr>
        <w:pStyle w:val="26"/>
        <w:ind w:left="420" w:firstLine="0" w:firstLineChars="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szCs w:val="28"/>
          <w14:textFill>
            <w14:solidFill>
              <w14:schemeClr w14:val="tx1"/>
            </w14:solidFill>
          </w14:textFill>
        </w:rPr>
        <w:t>*付款方式：</w:t>
      </w:r>
      <w:r>
        <w:rPr>
          <w:rFonts w:hint="eastAsia" w:ascii="仿宋_GB2312" w:hAnsi="宋体" w:eastAsia="仿宋_GB2312"/>
          <w:color w:val="000000" w:themeColor="text1"/>
          <w:sz w:val="24"/>
          <w14:textFill>
            <w14:solidFill>
              <w14:schemeClr w14:val="tx1"/>
            </w14:solidFill>
          </w14:textFill>
        </w:rPr>
        <w:t>双方签署本合同后，项目实施完成并出具相关评估报告及整改建议，且行方确认无误后，按照挖掘的有效漏洞级别*个数*漏洞单价的总金额支付50%，完成复测确认所有漏洞已整改，出具整改复测报告后，按照挖掘的有效漏洞级别*个数*漏洞单价的总金额支付50%。</w:t>
      </w:r>
    </w:p>
    <w:p>
      <w:pPr>
        <w:rPr>
          <w:rFonts w:ascii="仿宋_GB2312" w:hAnsi="宋体" w:eastAsia="仿宋_GB2312"/>
          <w:b/>
          <w:color w:val="000000" w:themeColor="text1"/>
          <w:sz w:val="28"/>
          <w14:textFill>
            <w14:solidFill>
              <w14:schemeClr w14:val="tx1"/>
            </w14:solidFill>
          </w14:textFill>
        </w:rPr>
      </w:pPr>
      <w:r>
        <w:rPr>
          <w:rFonts w:hint="eastAsia" w:ascii="仿宋_GB2312" w:hAnsi="宋体" w:eastAsia="仿宋_GB2312"/>
          <w:b/>
          <w:color w:val="000000" w:themeColor="text1"/>
          <w:sz w:val="28"/>
          <w14:textFill>
            <w14:solidFill>
              <w14:schemeClr w14:val="tx1"/>
            </w14:solidFill>
          </w14:textFill>
        </w:rPr>
        <w:t>标段二：安全攻防演练服务</w:t>
      </w:r>
    </w:p>
    <w:tbl>
      <w:tblPr>
        <w:tblStyle w:val="13"/>
        <w:tblW w:w="4404"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700"/>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82" w:type="pct"/>
            <w:vAlign w:val="center"/>
          </w:tcPr>
          <w:p>
            <w:pPr>
              <w:spacing w:line="360" w:lineRule="auto"/>
              <w:jc w:val="center"/>
              <w:rPr>
                <w:rFonts w:ascii="仿宋" w:hAnsi="仿宋" w:eastAsia="仿宋"/>
                <w:color w:val="000000" w:themeColor="text1"/>
                <w:sz w:val="24"/>
                <w:szCs w:val="22"/>
                <w14:textFill>
                  <w14:solidFill>
                    <w14:schemeClr w14:val="tx1"/>
                  </w14:solidFill>
                </w14:textFill>
              </w:rPr>
            </w:pPr>
            <w:r>
              <w:rPr>
                <w:rFonts w:hint="eastAsia" w:ascii="仿宋" w:hAnsi="仿宋" w:eastAsia="仿宋"/>
                <w:color w:val="000000" w:themeColor="text1"/>
                <w:sz w:val="24"/>
                <w:szCs w:val="22"/>
                <w14:textFill>
                  <w14:solidFill>
                    <w14:schemeClr w14:val="tx1"/>
                  </w14:solidFill>
                </w14:textFill>
              </w:rPr>
              <w:t>项目</w:t>
            </w:r>
          </w:p>
        </w:tc>
        <w:tc>
          <w:tcPr>
            <w:tcW w:w="1132" w:type="pct"/>
            <w:vAlign w:val="center"/>
          </w:tcPr>
          <w:p>
            <w:pPr>
              <w:spacing w:line="360" w:lineRule="auto"/>
              <w:jc w:val="center"/>
              <w:rPr>
                <w:rFonts w:ascii="仿宋" w:hAnsi="仿宋" w:eastAsia="仿宋"/>
                <w:color w:val="000000" w:themeColor="text1"/>
                <w:sz w:val="24"/>
                <w:szCs w:val="22"/>
                <w14:textFill>
                  <w14:solidFill>
                    <w14:schemeClr w14:val="tx1"/>
                  </w14:solidFill>
                </w14:textFill>
              </w:rPr>
            </w:pPr>
            <w:r>
              <w:rPr>
                <w:rFonts w:hint="eastAsia" w:ascii="仿宋" w:hAnsi="仿宋" w:eastAsia="仿宋"/>
                <w:color w:val="000000" w:themeColor="text1"/>
                <w:sz w:val="24"/>
                <w:szCs w:val="22"/>
                <w14:textFill>
                  <w14:solidFill>
                    <w14:schemeClr w14:val="tx1"/>
                  </w14:solidFill>
                </w14:textFill>
              </w:rPr>
              <w:t>单位</w:t>
            </w:r>
          </w:p>
        </w:tc>
        <w:tc>
          <w:tcPr>
            <w:tcW w:w="1886" w:type="pct"/>
            <w:vAlign w:val="center"/>
          </w:tcPr>
          <w:p>
            <w:pPr>
              <w:spacing w:line="360" w:lineRule="auto"/>
              <w:jc w:val="center"/>
              <w:rPr>
                <w:rFonts w:ascii="仿宋" w:hAnsi="仿宋" w:eastAsia="仿宋"/>
                <w:color w:val="000000" w:themeColor="text1"/>
                <w:sz w:val="24"/>
                <w:szCs w:val="22"/>
                <w14:textFill>
                  <w14:solidFill>
                    <w14:schemeClr w14:val="tx1"/>
                  </w14:solidFill>
                </w14:textFill>
              </w:rPr>
            </w:pPr>
            <w:r>
              <w:rPr>
                <w:rFonts w:hint="eastAsia" w:ascii="仿宋" w:hAnsi="仿宋" w:eastAsia="仿宋"/>
                <w:color w:val="000000" w:themeColor="text1"/>
                <w:sz w:val="24"/>
                <w:szCs w:val="22"/>
                <w14:textFill>
                  <w14:solidFill>
                    <w14:schemeClr w14:val="tx1"/>
                  </w14:solidFill>
                </w14:textFill>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2" w:type="pct"/>
            <w:vAlign w:val="center"/>
          </w:tcPr>
          <w:p>
            <w:pPr>
              <w:spacing w:line="360" w:lineRule="auto"/>
              <w:jc w:val="center"/>
              <w:rPr>
                <w:rFonts w:hint="default" w:ascii="仿宋" w:hAnsi="仿宋" w:eastAsia="仿宋"/>
                <w:color w:val="000000" w:themeColor="text1"/>
                <w:sz w:val="24"/>
                <w:szCs w:val="22"/>
                <w14:textFill>
                  <w14:solidFill>
                    <w14:schemeClr w14:val="tx1"/>
                  </w14:solidFill>
                </w14:textFill>
              </w:rPr>
            </w:pPr>
            <w:r>
              <w:rPr>
                <w:rFonts w:ascii="仿宋" w:hAnsi="仿宋" w:eastAsia="仿宋"/>
                <w:color w:val="000000" w:themeColor="text1"/>
                <w:sz w:val="24"/>
                <w:szCs w:val="22"/>
                <w14:textFill>
                  <w14:solidFill>
                    <w14:schemeClr w14:val="tx1"/>
                  </w14:solidFill>
                </w14:textFill>
              </w:rPr>
              <w:t>安全攻防演练服务</w:t>
            </w:r>
            <w:bookmarkStart w:id="25" w:name="_GoBack"/>
            <w:bookmarkEnd w:id="25"/>
          </w:p>
        </w:tc>
        <w:tc>
          <w:tcPr>
            <w:tcW w:w="1132" w:type="pct"/>
            <w:vAlign w:val="center"/>
          </w:tcPr>
          <w:p>
            <w:pPr>
              <w:spacing w:line="360" w:lineRule="auto"/>
              <w:jc w:val="center"/>
              <w:rPr>
                <w:rFonts w:ascii="仿宋" w:hAnsi="仿宋" w:eastAsia="仿宋"/>
                <w:color w:val="000000" w:themeColor="text1"/>
                <w:sz w:val="24"/>
                <w:szCs w:val="22"/>
                <w14:textFill>
                  <w14:solidFill>
                    <w14:schemeClr w14:val="tx1"/>
                  </w14:solidFill>
                </w14:textFill>
              </w:rPr>
            </w:pPr>
            <w:r>
              <w:rPr>
                <w:rFonts w:hint="eastAsia" w:ascii="仿宋" w:hAnsi="仿宋" w:eastAsia="仿宋"/>
                <w:color w:val="000000" w:themeColor="text1"/>
                <w:sz w:val="24"/>
                <w:szCs w:val="22"/>
                <w14:textFill>
                  <w14:solidFill>
                    <w14:schemeClr w14:val="tx1"/>
                  </w14:solidFill>
                </w14:textFill>
              </w:rPr>
              <w:t>元/项</w:t>
            </w:r>
          </w:p>
        </w:tc>
        <w:tc>
          <w:tcPr>
            <w:tcW w:w="1886" w:type="pct"/>
            <w:vAlign w:val="center"/>
          </w:tcPr>
          <w:p>
            <w:pPr>
              <w:spacing w:line="360" w:lineRule="auto"/>
              <w:jc w:val="center"/>
              <w:rPr>
                <w:rFonts w:ascii="仿宋" w:hAnsi="仿宋" w:eastAsia="仿宋"/>
                <w:color w:val="000000" w:themeColor="text1"/>
                <w:sz w:val="24"/>
                <w:szCs w:val="22"/>
                <w14:textFill>
                  <w14:solidFill>
                    <w14:schemeClr w14:val="tx1"/>
                  </w14:solidFill>
                </w14:textFill>
              </w:rPr>
            </w:pPr>
          </w:p>
        </w:tc>
      </w:tr>
    </w:tbl>
    <w:p>
      <w:pPr>
        <w:pStyle w:val="26"/>
        <w:ind w:left="420" w:firstLine="0" w:firstLineChars="0"/>
        <w:rPr>
          <w:rFonts w:ascii="仿宋_GB2312" w:hAnsi="宋体" w:eastAsia="仿宋_GB2312"/>
          <w:color w:val="000000" w:themeColor="text1"/>
          <w:sz w:val="24"/>
          <w:szCs w:val="28"/>
          <w14:textFill>
            <w14:solidFill>
              <w14:schemeClr w14:val="tx1"/>
            </w14:solidFill>
          </w14:textFill>
        </w:rPr>
      </w:pPr>
      <w:r>
        <w:rPr>
          <w:rFonts w:hint="eastAsia" w:ascii="仿宋_GB2312" w:hAnsi="宋体" w:eastAsia="仿宋_GB2312"/>
          <w:color w:val="000000" w:themeColor="text1"/>
          <w:sz w:val="24"/>
          <w:szCs w:val="28"/>
          <w14:textFill>
            <w14:solidFill>
              <w14:schemeClr w14:val="tx1"/>
            </w14:solidFill>
          </w14:textFill>
        </w:rPr>
        <w:t>*付款方式：双方签署本合同后，项目实施完成并出具相关评估报告及整改建议，且行方确认无误后，按照攻防达标情况支付50%，完成复测确认所有漏洞已整改，出具整改复测报告后，按照攻防达标情况支付50%。</w:t>
      </w:r>
    </w:p>
    <w:p>
      <w:pPr>
        <w:rPr>
          <w:rFonts w:ascii="仿宋_GB2312" w:eastAsia="仿宋_GB2312"/>
          <w:snapToGrid w:val="0"/>
          <w:color w:val="000000" w:themeColor="text1"/>
          <w:sz w:val="28"/>
          <w:szCs w:val="28"/>
          <w14:textFill>
            <w14:solidFill>
              <w14:schemeClr w14:val="tx1"/>
            </w14:solidFill>
          </w14:textFill>
        </w:rPr>
      </w:pPr>
      <w:r>
        <w:rPr>
          <w:rFonts w:hint="eastAsia" w:ascii="仿宋_GB2312" w:eastAsia="仿宋_GB2312"/>
          <w:snapToGrid w:val="0"/>
          <w:color w:val="000000" w:themeColor="text1"/>
          <w:sz w:val="28"/>
          <w:szCs w:val="28"/>
          <w14:textFill>
            <w14:solidFill>
              <w14:schemeClr w14:val="tx1"/>
            </w14:solidFill>
          </w14:textFill>
        </w:rPr>
        <w:t>4、其他说明</w:t>
      </w:r>
    </w:p>
    <w:p>
      <w:pPr>
        <w:ind w:firstLine="420" w:firstLineChars="150"/>
        <w:rPr>
          <w:rFonts w:ascii="仿宋_GB2312" w:eastAsia="仿宋_GB2312"/>
          <w:snapToGrid w:val="0"/>
          <w:color w:val="000000" w:themeColor="text1"/>
          <w:sz w:val="28"/>
          <w:szCs w:val="28"/>
          <w14:textFill>
            <w14:solidFill>
              <w14:schemeClr w14:val="tx1"/>
            </w14:solidFill>
          </w14:textFill>
        </w:rPr>
      </w:pPr>
      <w:r>
        <w:rPr>
          <w:rFonts w:hint="eastAsia" w:ascii="仿宋_GB2312" w:eastAsia="仿宋_GB2312"/>
          <w:snapToGrid w:val="0"/>
          <w:color w:val="000000" w:themeColor="text1"/>
          <w:sz w:val="28"/>
          <w:szCs w:val="28"/>
          <w14:textFill>
            <w14:solidFill>
              <w14:schemeClr w14:val="tx1"/>
            </w14:solidFill>
          </w14:textFill>
        </w:rPr>
        <w:t>4.1  以上表格物品不得改动、删除，否则做无效投标处理。</w:t>
      </w:r>
    </w:p>
    <w:p>
      <w:pPr>
        <w:pStyle w:val="2"/>
        <w:rPr>
          <w:rFonts w:ascii="仿宋_GB2312" w:eastAsia="仿宋_GB2312"/>
          <w:snapToGrid w:val="0"/>
          <w:color w:val="000000" w:themeColor="text1"/>
          <w:sz w:val="28"/>
          <w:szCs w:val="28"/>
          <w14:textFill>
            <w14:solidFill>
              <w14:schemeClr w14:val="tx1"/>
            </w14:solidFill>
          </w14:textFill>
        </w:rPr>
      </w:pPr>
      <w:r>
        <w:rPr>
          <w:rFonts w:hint="eastAsia" w:ascii="仿宋_GB2312" w:eastAsia="仿宋_GB2312"/>
          <w:snapToGrid w:val="0"/>
          <w:color w:val="000000" w:themeColor="text1"/>
          <w:sz w:val="28"/>
          <w:szCs w:val="28"/>
          <w14:textFill>
            <w14:solidFill>
              <w14:schemeClr w14:val="tx1"/>
            </w14:solidFill>
          </w14:textFill>
        </w:rPr>
        <w:t xml:space="preserve">   4.2  标段一投标单价之和只作为审评依据，最终以中标单价金额进行合同签订。</w:t>
      </w:r>
    </w:p>
    <w:p>
      <w:pPr>
        <w:adjustRightInd w:val="0"/>
        <w:spacing w:line="640" w:lineRule="exact"/>
        <w:rPr>
          <w:rFonts w:ascii="仿宋_GB2312" w:eastAsia="仿宋_GB2312"/>
          <w:snapToGrid w:val="0"/>
          <w:color w:val="000000" w:themeColor="text1"/>
          <w:sz w:val="28"/>
          <w:szCs w:val="28"/>
          <w14:textFill>
            <w14:solidFill>
              <w14:schemeClr w14:val="tx1"/>
            </w14:solidFill>
          </w14:textFill>
        </w:rPr>
      </w:pPr>
      <w:r>
        <w:rPr>
          <w:rFonts w:hint="eastAsia" w:ascii="仿宋_GB2312" w:eastAsia="仿宋_GB2312"/>
          <w:snapToGrid w:val="0"/>
          <w:color w:val="000000" w:themeColor="text1"/>
          <w:sz w:val="28"/>
          <w:szCs w:val="28"/>
          <w14:textFill>
            <w14:solidFill>
              <w14:schemeClr w14:val="tx1"/>
            </w14:solidFill>
          </w14:textFill>
        </w:rPr>
        <w:t>5、其他优惠条件（如有请列明）</w:t>
      </w:r>
    </w:p>
    <w:p>
      <w:pPr>
        <w:adjustRightInd w:val="0"/>
        <w:spacing w:line="640" w:lineRule="exact"/>
        <w:rPr>
          <w:rFonts w:ascii="仿宋_GB2312" w:eastAsia="仿宋_GB2312"/>
          <w:snapToGrid w:val="0"/>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360" w:lineRule="auto"/>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备注：</w:t>
      </w:r>
    </w:p>
    <w:p>
      <w:pPr>
        <w:pStyle w:val="24"/>
        <w:spacing w:line="360" w:lineRule="auto"/>
        <w:ind w:firstLine="482"/>
        <w:jc w:val="left"/>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本次报价包含本项目所有费用及供应商为项目实施而支付的交通、食宿、通讯、税费等全部费用，昆山农商银行不再另外支付与本项目有关的其他费用。</w:t>
      </w:r>
    </w:p>
    <w:p>
      <w:pPr>
        <w:ind w:left="1526" w:hanging="1526"/>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（本表内未明确列述的项目费用应视为包括在项目费用总额之内）</w:t>
      </w:r>
    </w:p>
    <w:p>
      <w:pPr>
        <w:ind w:left="1526" w:hanging="1526"/>
        <w:rPr>
          <w:rFonts w:ascii="黑体" w:hAnsi="黑体" w:eastAsia="黑体"/>
          <w:b/>
          <w:color w:val="000000" w:themeColor="text1"/>
          <w:sz w:val="24"/>
          <w:szCs w:val="24"/>
          <w14:textFill>
            <w14:solidFill>
              <w14:schemeClr w14:val="tx1"/>
            </w14:solidFill>
          </w14:textFill>
        </w:rPr>
      </w:pPr>
    </w:p>
    <w:p>
      <w:pPr>
        <w:ind w:left="1526" w:hanging="1526"/>
        <w:rPr>
          <w:rFonts w:ascii="黑体" w:hAnsi="黑体" w:eastAsia="黑体"/>
          <w:b/>
          <w:color w:val="000000" w:themeColor="text1"/>
          <w:sz w:val="24"/>
          <w:szCs w:val="24"/>
          <w14:textFill>
            <w14:solidFill>
              <w14:schemeClr w14:val="tx1"/>
            </w14:solidFill>
          </w14:textFill>
        </w:rPr>
      </w:pPr>
    </w:p>
    <w:p>
      <w:pPr>
        <w:ind w:left="1526" w:hanging="1526"/>
        <w:rPr>
          <w:rFonts w:ascii="黑体" w:hAnsi="黑体" w:eastAsia="黑体"/>
          <w:b/>
          <w:color w:val="000000" w:themeColor="text1"/>
          <w:sz w:val="28"/>
          <w:szCs w:val="28"/>
          <w14:textFill>
            <w14:solidFill>
              <w14:schemeClr w14:val="tx1"/>
            </w14:solidFill>
          </w14:textFill>
        </w:rPr>
      </w:pPr>
    </w:p>
    <w:p>
      <w:pPr>
        <w:adjustRightInd w:val="0"/>
        <w:spacing w:line="500" w:lineRule="exact"/>
        <w:rPr>
          <w:rFonts w:ascii="仿宋_GB2312" w:eastAsia="仿宋_GB2312"/>
          <w:snapToGrid w:val="0"/>
          <w:color w:val="000000" w:themeColor="text1"/>
          <w:sz w:val="28"/>
          <w:szCs w:val="28"/>
          <w14:textFill>
            <w14:solidFill>
              <w14:schemeClr w14:val="tx1"/>
            </w14:solidFill>
          </w14:textFill>
        </w:rPr>
      </w:pPr>
      <w:r>
        <w:rPr>
          <w:rFonts w:hint="eastAsia" w:ascii="仿宋_GB2312" w:eastAsia="仿宋_GB2312"/>
          <w:snapToGrid w:val="0"/>
          <w:color w:val="000000" w:themeColor="text1"/>
          <w:sz w:val="28"/>
          <w:szCs w:val="28"/>
          <w14:textFill>
            <w14:solidFill>
              <w14:schemeClr w14:val="tx1"/>
            </w14:solidFill>
          </w14:textFill>
        </w:rPr>
        <w:t>公司盖章：</w:t>
      </w:r>
    </w:p>
    <w:p>
      <w:pPr>
        <w:autoSpaceDE w:val="0"/>
        <w:autoSpaceDN w:val="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法定代表人或其授权的代表签字：                 </w:t>
      </w:r>
    </w:p>
    <w:p>
      <w:pPr>
        <w:ind w:left="1526" w:hanging="1526"/>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日 期：    </w:t>
      </w:r>
    </w:p>
    <w:p>
      <w:pPr>
        <w:pStyle w:val="2"/>
        <w:rPr>
          <w:color w:val="000000" w:themeColor="text1"/>
          <w14:textFill>
            <w14:solidFill>
              <w14:schemeClr w14:val="tx1"/>
            </w14:solidFill>
          </w14:textFill>
        </w:rPr>
      </w:pPr>
    </w:p>
    <w:p>
      <w:pPr>
        <w:pStyle w:val="2"/>
        <w:rPr>
          <w:rFonts w:ascii="仿宋_GB2312" w:hAnsi="宋体" w:eastAsia="仿宋_GB2312"/>
          <w:b/>
          <w:bCs/>
          <w:color w:val="000000" w:themeColor="text1"/>
          <w:sz w:val="28"/>
          <w14:textFill>
            <w14:solidFill>
              <w14:schemeClr w14:val="tx1"/>
            </w14:solidFill>
          </w14:textFill>
        </w:rPr>
      </w:pPr>
    </w:p>
    <w:p>
      <w:pPr>
        <w:pStyle w:val="2"/>
        <w:rPr>
          <w:rFonts w:ascii="仿宋_GB2312" w:hAnsi="宋体" w:eastAsia="仿宋_GB2312"/>
          <w:b/>
          <w:bCs/>
          <w:color w:val="000000" w:themeColor="text1"/>
          <w:sz w:val="28"/>
          <w14:textFill>
            <w14:solidFill>
              <w14:schemeClr w14:val="tx1"/>
            </w14:solidFill>
          </w14:textFill>
        </w:rPr>
      </w:pPr>
    </w:p>
    <w:p>
      <w:pPr>
        <w:pStyle w:val="2"/>
        <w:rPr>
          <w:rFonts w:ascii="仿宋_GB2312" w:hAnsi="宋体" w:eastAsia="仿宋_GB2312"/>
          <w:b/>
          <w:bCs/>
          <w:color w:val="000000" w:themeColor="text1"/>
          <w:sz w:val="28"/>
          <w14:textFill>
            <w14:solidFill>
              <w14:schemeClr w14:val="tx1"/>
            </w14:solidFill>
          </w14:textFill>
        </w:rPr>
      </w:pPr>
    </w:p>
    <w:p>
      <w:pPr>
        <w:pStyle w:val="2"/>
        <w:rPr>
          <w:rFonts w:ascii="仿宋_GB2312" w:hAnsi="宋体" w:eastAsia="仿宋_GB2312"/>
          <w:b/>
          <w:bCs/>
          <w:color w:val="000000" w:themeColor="text1"/>
          <w:sz w:val="28"/>
          <w14:textFill>
            <w14:solidFill>
              <w14:schemeClr w14:val="tx1"/>
            </w14:solidFill>
          </w14:textFill>
        </w:rPr>
      </w:pPr>
    </w:p>
    <w:p>
      <w:pPr>
        <w:pStyle w:val="2"/>
        <w:rPr>
          <w:rFonts w:ascii="仿宋_GB2312" w:hAnsi="宋体" w:eastAsia="仿宋_GB2312"/>
          <w:b/>
          <w:bCs/>
          <w:color w:val="000000" w:themeColor="text1"/>
          <w:sz w:val="28"/>
          <w14:textFill>
            <w14:solidFill>
              <w14:schemeClr w14:val="tx1"/>
            </w14:solidFill>
          </w14:textFill>
        </w:rPr>
      </w:pPr>
    </w:p>
    <w:p>
      <w:pPr>
        <w:pStyle w:val="2"/>
        <w:rPr>
          <w:rFonts w:ascii="仿宋_GB2312" w:hAnsi="宋体" w:eastAsia="仿宋_GB2312"/>
          <w:b/>
          <w:bCs/>
          <w:color w:val="000000" w:themeColor="text1"/>
          <w:sz w:val="28"/>
          <w14:textFill>
            <w14:solidFill>
              <w14:schemeClr w14:val="tx1"/>
            </w14:solidFill>
          </w14:textFill>
        </w:rPr>
      </w:pPr>
    </w:p>
    <w:p>
      <w:pPr>
        <w:pStyle w:val="2"/>
        <w:rPr>
          <w:rFonts w:ascii="仿宋_GB2312" w:hAnsi="宋体" w:eastAsia="仿宋_GB2312"/>
          <w:b/>
          <w:bCs/>
          <w:color w:val="000000" w:themeColor="text1"/>
          <w:sz w:val="28"/>
          <w14:textFill>
            <w14:solidFill>
              <w14:schemeClr w14:val="tx1"/>
            </w14:solidFill>
          </w14:textFill>
        </w:rPr>
      </w:pPr>
    </w:p>
    <w:p>
      <w:pPr>
        <w:pStyle w:val="2"/>
        <w:rPr>
          <w:rFonts w:ascii="仿宋_GB2312" w:hAnsi="宋体" w:eastAsia="仿宋_GB2312"/>
          <w:b/>
          <w:bCs/>
          <w:color w:val="000000" w:themeColor="text1"/>
          <w:sz w:val="28"/>
          <w14:textFill>
            <w14:solidFill>
              <w14:schemeClr w14:val="tx1"/>
            </w14:solidFill>
          </w14:textFill>
        </w:rPr>
      </w:pPr>
    </w:p>
    <w:p>
      <w:pPr>
        <w:pStyle w:val="2"/>
        <w:rPr>
          <w:rFonts w:ascii="仿宋_GB2312" w:hAnsi="宋体" w:eastAsia="仿宋_GB2312"/>
          <w:b/>
          <w:bCs/>
          <w:color w:val="000000" w:themeColor="text1"/>
          <w:sz w:val="28"/>
          <w14:textFill>
            <w14:solidFill>
              <w14:schemeClr w14:val="tx1"/>
            </w14:solidFill>
          </w14:textFill>
        </w:rPr>
      </w:pPr>
    </w:p>
    <w:p>
      <w:pPr>
        <w:snapToGrid w:val="0"/>
        <w:spacing w:line="360" w:lineRule="auto"/>
        <w:outlineLvl w:val="1"/>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附件5：拟签订的合同文本</w:t>
      </w:r>
    </w:p>
    <w:p>
      <w:pPr>
        <w:spacing w:line="360" w:lineRule="auto"/>
        <w:ind w:right="960"/>
        <w:jc w:val="center"/>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 xml:space="preserve">                                         </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jc w:val="center"/>
        <w:rPr>
          <w:rFonts w:ascii="华文中宋" w:hAnsi="华文中宋" w:eastAsia="华文中宋"/>
          <w:color w:val="000000" w:themeColor="text1"/>
          <w:sz w:val="44"/>
          <w:szCs w:val="44"/>
          <w14:textFill>
            <w14:solidFill>
              <w14:schemeClr w14:val="tx1"/>
            </w14:solidFill>
          </w14:textFill>
        </w:rPr>
      </w:pPr>
      <w:r>
        <w:rPr>
          <w:rFonts w:ascii="华文中宋" w:hAnsi="华文中宋" w:eastAsia="华文中宋"/>
          <w:color w:val="000000" w:themeColor="text1"/>
          <w:sz w:val="44"/>
          <w:szCs w:val="44"/>
          <w14:textFill>
            <w14:solidFill>
              <w14:schemeClr w14:val="tx1"/>
            </w14:solidFill>
          </w14:textFill>
        </w:rPr>
        <w:t>*******</w:t>
      </w:r>
      <w:r>
        <w:rPr>
          <w:rFonts w:hint="eastAsia" w:ascii="华文中宋" w:hAnsi="华文中宋" w:eastAsia="华文中宋"/>
          <w:color w:val="000000" w:themeColor="text1"/>
          <w:sz w:val="44"/>
          <w:szCs w:val="44"/>
          <w14:textFill>
            <w14:solidFill>
              <w14:schemeClr w14:val="tx1"/>
            </w14:solidFill>
          </w14:textFill>
        </w:rPr>
        <w:t>服务采购</w:t>
      </w:r>
      <w:r>
        <w:rPr>
          <w:rFonts w:ascii="华文中宋" w:hAnsi="华文中宋" w:eastAsia="华文中宋"/>
          <w:color w:val="000000" w:themeColor="text1"/>
          <w:sz w:val="44"/>
          <w:szCs w:val="44"/>
          <w14:textFill>
            <w14:solidFill>
              <w14:schemeClr w14:val="tx1"/>
            </w14:solidFill>
          </w14:textFill>
        </w:rPr>
        <w:t>项目</w:t>
      </w:r>
      <w:r>
        <w:rPr>
          <w:rFonts w:hint="eastAsia" w:ascii="华文中宋" w:hAnsi="华文中宋" w:eastAsia="华文中宋"/>
          <w:color w:val="000000" w:themeColor="text1"/>
          <w:sz w:val="44"/>
          <w:szCs w:val="44"/>
          <w14:textFill>
            <w14:solidFill>
              <w14:schemeClr w14:val="tx1"/>
            </w14:solidFill>
          </w14:textFill>
        </w:rPr>
        <w:t>合同书</w:t>
      </w:r>
    </w:p>
    <w:p>
      <w:pPr>
        <w:spacing w:line="360" w:lineRule="auto"/>
        <w:jc w:val="center"/>
        <w:rPr>
          <w:rFonts w:eastAsia="黑体"/>
          <w:color w:val="000000" w:themeColor="text1"/>
          <w:sz w:val="44"/>
          <w:szCs w:val="44"/>
          <w14:textFill>
            <w14:solidFill>
              <w14:schemeClr w14:val="tx1"/>
            </w14:solidFill>
          </w14:textFill>
        </w:rPr>
      </w:pPr>
    </w:p>
    <w:p>
      <w:pPr>
        <w:spacing w:line="360" w:lineRule="auto"/>
        <w:jc w:val="center"/>
        <w:rPr>
          <w:rFonts w:eastAsia="黑体"/>
          <w:color w:val="000000" w:themeColor="text1"/>
          <w:sz w:val="44"/>
          <w:szCs w:val="44"/>
          <w14:textFill>
            <w14:solidFill>
              <w14:schemeClr w14:val="tx1"/>
            </w14:solidFill>
          </w14:textFill>
        </w:rPr>
      </w:pPr>
    </w:p>
    <w:p>
      <w:pPr>
        <w:spacing w:line="360" w:lineRule="auto"/>
        <w:jc w:val="center"/>
        <w:rPr>
          <w:rFonts w:eastAsia="黑体"/>
          <w:color w:val="000000" w:themeColor="text1"/>
          <w:sz w:val="44"/>
          <w:szCs w:val="44"/>
          <w14:textFill>
            <w14:solidFill>
              <w14:schemeClr w14:val="tx1"/>
            </w14:solidFill>
          </w14:textFill>
        </w:rPr>
      </w:pPr>
    </w:p>
    <w:p>
      <w:pPr>
        <w:spacing w:line="360" w:lineRule="auto"/>
        <w:jc w:val="center"/>
        <w:rPr>
          <w:rFonts w:eastAsia="黑体"/>
          <w:color w:val="000000" w:themeColor="text1"/>
          <w:sz w:val="44"/>
          <w:szCs w:val="44"/>
          <w14:textFill>
            <w14:solidFill>
              <w14:schemeClr w14:val="tx1"/>
            </w14:solidFill>
          </w14:textFill>
        </w:rPr>
      </w:pPr>
    </w:p>
    <w:p>
      <w:pPr>
        <w:spacing w:line="360" w:lineRule="auto"/>
        <w:jc w:val="center"/>
        <w:rPr>
          <w:rFonts w:eastAsia="黑体"/>
          <w:color w:val="000000" w:themeColor="text1"/>
          <w:sz w:val="44"/>
          <w:szCs w:val="44"/>
          <w14:textFill>
            <w14:solidFill>
              <w14:schemeClr w14:val="tx1"/>
            </w14:solidFill>
          </w14:textFill>
        </w:rPr>
      </w:pPr>
    </w:p>
    <w:p>
      <w:pPr>
        <w:spacing w:line="360" w:lineRule="auto"/>
        <w:jc w:val="center"/>
        <w:rPr>
          <w:rFonts w:eastAsia="黑体"/>
          <w:color w:val="000000" w:themeColor="text1"/>
          <w:sz w:val="44"/>
          <w:szCs w:val="44"/>
          <w14:textFill>
            <w14:solidFill>
              <w14:schemeClr w14:val="tx1"/>
            </w14:solidFill>
          </w14:textFill>
        </w:rPr>
      </w:pPr>
    </w:p>
    <w:p>
      <w:pPr>
        <w:spacing w:line="360" w:lineRule="auto"/>
        <w:ind w:right="-17" w:rightChars="-8"/>
        <w:jc w:val="center"/>
        <w:rPr>
          <w:rFonts w:eastAsia="黑体"/>
          <w:color w:val="000000" w:themeColor="text1"/>
          <w:sz w:val="30"/>
          <w:szCs w:val="30"/>
          <w14:textFill>
            <w14:solidFill>
              <w14:schemeClr w14:val="tx1"/>
            </w14:solidFill>
          </w14:textFill>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19"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黑体" w:eastAsia="仿宋_GB2312"/>
                <w:color w:val="000000" w:themeColor="text1"/>
                <w:sz w:val="24"/>
                <w14:textFill>
                  <w14:solidFill>
                    <w14:schemeClr w14:val="tx1"/>
                  </w14:solidFill>
                </w14:textFill>
              </w:rPr>
            </w:pPr>
            <w:r>
              <w:rPr>
                <w:rFonts w:hint="eastAsia" w:ascii="仿宋_GB2312" w:hAnsi="黑体" w:eastAsia="仿宋_GB2312"/>
                <w:color w:val="000000" w:themeColor="text1"/>
                <w14:textFill>
                  <w14:solidFill>
                    <w14:schemeClr w14:val="tx1"/>
                  </w14:solidFill>
                </w14:textFill>
              </w:rPr>
              <w:t>合同编号：</w:t>
            </w:r>
          </w:p>
        </w:tc>
        <w:tc>
          <w:tcPr>
            <w:tcW w:w="3955"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黑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19"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黑体" w:eastAsia="仿宋_GB2312"/>
                <w:color w:val="000000" w:themeColor="text1"/>
                <w:sz w:val="24"/>
                <w14:textFill>
                  <w14:solidFill>
                    <w14:schemeClr w14:val="tx1"/>
                  </w14:solidFill>
                </w14:textFill>
              </w:rPr>
            </w:pPr>
            <w:r>
              <w:rPr>
                <w:rFonts w:hint="eastAsia" w:ascii="仿宋_GB2312" w:hAnsi="黑体" w:eastAsia="仿宋_GB2312"/>
                <w:color w:val="000000" w:themeColor="text1"/>
                <w14:textFill>
                  <w14:solidFill>
                    <w14:schemeClr w14:val="tx1"/>
                  </w14:solidFill>
                </w14:textFill>
              </w:rPr>
              <w:t>甲方：</w:t>
            </w:r>
          </w:p>
        </w:tc>
        <w:tc>
          <w:tcPr>
            <w:tcW w:w="3955"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黑体" w:eastAsia="仿宋_GB2312"/>
                <w:color w:val="000000" w:themeColor="text1"/>
                <w:sz w:val="24"/>
                <w14:textFill>
                  <w14:solidFill>
                    <w14:schemeClr w14:val="tx1"/>
                  </w14:solidFill>
                </w14:textFill>
              </w:rPr>
            </w:pPr>
            <w:r>
              <w:rPr>
                <w:rFonts w:hint="eastAsia" w:ascii="仿宋_GB2312" w:hAnsi="黑体" w:eastAsia="仿宋_GB2312"/>
                <w:color w:val="000000" w:themeColor="text1"/>
                <w14:textFill>
                  <w14:solidFill>
                    <w14:schemeClr w14:val="tx1"/>
                  </w14:solidFill>
                </w14:textFill>
              </w:rPr>
              <w:t>江苏昆山农村商业银行股份有限公司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19"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黑体" w:eastAsia="仿宋_GB2312"/>
                <w:color w:val="000000" w:themeColor="text1"/>
                <w:sz w:val="24"/>
                <w14:textFill>
                  <w14:solidFill>
                    <w14:schemeClr w14:val="tx1"/>
                  </w14:solidFill>
                </w14:textFill>
              </w:rPr>
            </w:pPr>
            <w:r>
              <w:rPr>
                <w:rFonts w:hint="eastAsia" w:ascii="仿宋_GB2312" w:hAnsi="黑体" w:eastAsia="仿宋_GB2312"/>
                <w:color w:val="000000" w:themeColor="text1"/>
                <w14:textFill>
                  <w14:solidFill>
                    <w14:schemeClr w14:val="tx1"/>
                  </w14:solidFill>
                </w14:textFill>
              </w:rPr>
              <w:t>乙方：</w:t>
            </w:r>
          </w:p>
        </w:tc>
        <w:tc>
          <w:tcPr>
            <w:tcW w:w="3955"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黑体" w:eastAsia="仿宋_GB2312"/>
                <w:color w:val="000000" w:themeColor="text1"/>
                <w:sz w:val="24"/>
                <w14:textFill>
                  <w14:solidFill>
                    <w14:schemeClr w14:val="tx1"/>
                  </w14:solidFill>
                </w14:textFill>
              </w:rPr>
            </w:pPr>
            <w:r>
              <w:rPr>
                <w:rFonts w:hint="eastAsia" w:ascii="仿宋_GB2312" w:hAnsi="黑体" w:eastAsia="仿宋_GB2312"/>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19"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黑体" w:eastAsia="仿宋_GB2312"/>
                <w:color w:val="000000" w:themeColor="text1"/>
                <w14:textFill>
                  <w14:solidFill>
                    <w14:schemeClr w14:val="tx1"/>
                  </w14:solidFill>
                </w14:textFill>
              </w:rPr>
            </w:pPr>
            <w:r>
              <w:rPr>
                <w:rFonts w:hint="eastAsia" w:ascii="仿宋_GB2312" w:hAnsi="黑体" w:eastAsia="仿宋_GB2312"/>
                <w:color w:val="000000" w:themeColor="text1"/>
                <w14:textFill>
                  <w14:solidFill>
                    <w14:schemeClr w14:val="tx1"/>
                  </w14:solidFill>
                </w14:textFill>
              </w:rPr>
              <w:t>签订地点：</w:t>
            </w:r>
          </w:p>
        </w:tc>
        <w:tc>
          <w:tcPr>
            <w:tcW w:w="3955"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黑体" w:eastAsia="仿宋_GB2312"/>
                <w:color w:val="000000" w:themeColor="text1"/>
                <w14:textFill>
                  <w14:solidFill>
                    <w14:schemeClr w14:val="tx1"/>
                  </w14:solidFill>
                </w14:textFill>
              </w:rPr>
            </w:pPr>
            <w:r>
              <w:rPr>
                <w:rFonts w:hint="eastAsia" w:ascii="仿宋_GB2312" w:hAnsi="黑体" w:eastAsia="仿宋_GB2312"/>
                <w:color w:val="000000" w:themeColor="text1"/>
                <w14:textFill>
                  <w14:solidFill>
                    <w14:schemeClr w14:val="tx1"/>
                  </w14:solidFill>
                </w14:textFill>
              </w:rPr>
              <w:t>昆山市前进东路828号昆山农商银行大厦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19"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黑体" w:eastAsia="仿宋_GB2312"/>
                <w:color w:val="000000" w:themeColor="text1"/>
                <w:sz w:val="24"/>
                <w14:textFill>
                  <w14:solidFill>
                    <w14:schemeClr w14:val="tx1"/>
                  </w14:solidFill>
                </w14:textFill>
              </w:rPr>
            </w:pPr>
            <w:r>
              <w:rPr>
                <w:rFonts w:hint="eastAsia" w:ascii="仿宋_GB2312" w:hAnsi="黑体" w:eastAsia="仿宋_GB2312"/>
                <w:color w:val="000000" w:themeColor="text1"/>
                <w14:textFill>
                  <w14:solidFill>
                    <w14:schemeClr w14:val="tx1"/>
                  </w14:solidFill>
                </w14:textFill>
              </w:rPr>
              <w:t>签订日期：</w:t>
            </w:r>
          </w:p>
        </w:tc>
        <w:tc>
          <w:tcPr>
            <w:tcW w:w="3955"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黑体" w:eastAsia="仿宋_GB2312"/>
                <w:color w:val="000000" w:themeColor="text1"/>
                <w:sz w:val="24"/>
                <w14:textFill>
                  <w14:solidFill>
                    <w14:schemeClr w14:val="tx1"/>
                  </w14:solidFill>
                </w14:textFill>
              </w:rPr>
            </w:pPr>
            <w:r>
              <w:rPr>
                <w:rFonts w:hint="eastAsia" w:ascii="仿宋_GB2312" w:hAnsi="黑体" w:eastAsia="仿宋_GB2312"/>
                <w:color w:val="000000" w:themeColor="text1"/>
                <w:sz w:val="24"/>
                <w14:textFill>
                  <w14:solidFill>
                    <w14:schemeClr w14:val="tx1"/>
                  </w14:solidFill>
                </w14:textFill>
              </w:rPr>
              <w:t xml:space="preserve">2024年 </w:t>
            </w:r>
            <w:r>
              <w:rPr>
                <w:rFonts w:ascii="仿宋_GB2312" w:hAnsi="黑体" w:eastAsia="仿宋_GB2312"/>
                <w:color w:val="000000" w:themeColor="text1"/>
                <w:sz w:val="24"/>
                <w14:textFill>
                  <w14:solidFill>
                    <w14:schemeClr w14:val="tx1"/>
                  </w14:solidFill>
                </w14:textFill>
              </w:rPr>
              <w:t xml:space="preserve">   </w:t>
            </w:r>
            <w:r>
              <w:rPr>
                <w:rFonts w:hint="eastAsia" w:ascii="仿宋_GB2312" w:hAnsi="黑体" w:eastAsia="仿宋_GB2312"/>
                <w:color w:val="000000" w:themeColor="text1"/>
                <w:sz w:val="24"/>
                <w14:textFill>
                  <w14:solidFill>
                    <w14:schemeClr w14:val="tx1"/>
                  </w14:solidFill>
                </w14:textFill>
              </w:rPr>
              <w:t>月</w:t>
            </w:r>
            <w:r>
              <w:rPr>
                <w:rFonts w:ascii="仿宋_GB2312" w:hAnsi="黑体" w:eastAsia="仿宋_GB2312"/>
                <w:color w:val="000000" w:themeColor="text1"/>
                <w:sz w:val="24"/>
                <w14:textFill>
                  <w14:solidFill>
                    <w14:schemeClr w14:val="tx1"/>
                  </w14:solidFill>
                </w14:textFill>
              </w:rPr>
              <w:t xml:space="preserve">   </w:t>
            </w:r>
            <w:r>
              <w:rPr>
                <w:rFonts w:hint="eastAsia" w:ascii="仿宋_GB2312" w:hAnsi="黑体" w:eastAsia="仿宋_GB2312"/>
                <w:color w:val="000000" w:themeColor="text1"/>
                <w:sz w:val="24"/>
                <w14:textFill>
                  <w14:solidFill>
                    <w14:schemeClr w14:val="tx1"/>
                  </w14:solidFill>
                </w14:textFill>
              </w:rPr>
              <w:t xml:space="preserve"> 日</w:t>
            </w:r>
          </w:p>
        </w:tc>
      </w:tr>
    </w:tbl>
    <w:p>
      <w:pPr>
        <w:spacing w:line="360" w:lineRule="auto"/>
        <w:ind w:right="-17" w:rightChars="-8"/>
        <w:jc w:val="center"/>
        <w:rPr>
          <w:rFonts w:eastAsia="黑体"/>
          <w:color w:val="000000" w:themeColor="text1"/>
          <w:sz w:val="48"/>
          <w:szCs w:val="48"/>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 xml:space="preserve">甲方：江苏昆山农村商业银行股份有限公司 </w:t>
      </w:r>
    </w:p>
    <w:p>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法定代表人：谢铁军</w:t>
      </w:r>
    </w:p>
    <w:p>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地址：昆山市前进东路828号昆山农商银行大厦 </w:t>
      </w:r>
    </w:p>
    <w:p>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联系人：</w:t>
      </w:r>
      <w:r>
        <w:rPr>
          <w:rFonts w:hint="eastAsia" w:ascii="宋体" w:hAnsi="宋体"/>
          <w:color w:val="000000" w:themeColor="text1"/>
          <w:sz w:val="24"/>
          <w14:textFill>
            <w14:solidFill>
              <w14:schemeClr w14:val="tx1"/>
            </w14:solidFill>
          </w14:textFill>
        </w:rPr>
        <w:t>孙晶</w:t>
      </w:r>
      <w:r>
        <w:rPr>
          <w:rFonts w:hint="eastAsia" w:ascii="仿宋_GB2312" w:eastAsia="仿宋_GB2312"/>
          <w:color w:val="000000" w:themeColor="text1"/>
          <w:sz w:val="28"/>
          <w:szCs w:val="28"/>
          <w14:textFill>
            <w14:solidFill>
              <w14:schemeClr w14:val="tx1"/>
            </w14:solidFill>
          </w14:textFill>
        </w:rPr>
        <w:t xml:space="preserve">        </w:t>
      </w:r>
      <w:r>
        <w:rPr>
          <w:rFonts w:ascii="仿宋_GB2312" w:eastAsia="仿宋_GB2312"/>
          <w:color w:val="000000" w:themeColor="text1"/>
          <w:sz w:val="28"/>
          <w:szCs w:val="28"/>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联系方式：</w:t>
      </w:r>
      <w:r>
        <w:rPr>
          <w:rFonts w:ascii="仿宋_GB2312" w:eastAsia="仿宋_GB2312"/>
          <w:color w:val="000000" w:themeColor="text1"/>
          <w:sz w:val="28"/>
          <w:szCs w:val="28"/>
          <w14:textFill>
            <w14:solidFill>
              <w14:schemeClr w14:val="tx1"/>
            </w14:solidFill>
          </w14:textFill>
        </w:rPr>
        <w:t>0512-57379262</w:t>
      </w:r>
    </w:p>
    <w:p>
      <w:pPr>
        <w:spacing w:line="360" w:lineRule="auto"/>
        <w:rPr>
          <w:rFonts w:ascii="宋体" w:hAnsi="宋体"/>
          <w:color w:val="000000" w:themeColor="text1"/>
          <w:sz w:val="24"/>
          <w14:textFill>
            <w14:solidFill>
              <w14:schemeClr w14:val="tx1"/>
            </w14:solidFill>
          </w14:textFill>
        </w:rPr>
      </w:pPr>
    </w:p>
    <w:p>
      <w:pPr>
        <w:ind w:firstLine="562" w:firstLineChars="200"/>
        <w:rPr>
          <w:rFonts w:ascii="宋体" w:hAnsi="宋体"/>
          <w:b/>
          <w:color w:val="000000" w:themeColor="text1"/>
          <w:sz w:val="24"/>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乙方：</w:t>
      </w:r>
      <w:r>
        <w:rPr>
          <w:rFonts w:hint="eastAsia" w:ascii="宋体" w:hAnsi="宋体"/>
          <w:b/>
          <w:color w:val="000000" w:themeColor="text1"/>
          <w:sz w:val="24"/>
          <w14:textFill>
            <w14:solidFill>
              <w14:schemeClr w14:val="tx1"/>
            </w14:solidFill>
          </w14:textFill>
        </w:rPr>
        <w:t xml:space="preserve"> </w:t>
      </w:r>
    </w:p>
    <w:p>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法定代表人：</w:t>
      </w:r>
    </w:p>
    <w:p>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地址：</w:t>
      </w:r>
      <w:r>
        <w:rPr>
          <w:rFonts w:ascii="仿宋_GB2312" w:eastAsia="仿宋_GB2312"/>
          <w:color w:val="000000" w:themeColor="text1"/>
          <w:sz w:val="28"/>
          <w:szCs w:val="28"/>
          <w14:textFill>
            <w14:solidFill>
              <w14:schemeClr w14:val="tx1"/>
            </w14:solidFill>
          </w14:textFill>
        </w:rPr>
        <w:t xml:space="preserve"> </w:t>
      </w:r>
    </w:p>
    <w:p>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联系人：         联系方式：              </w:t>
      </w:r>
    </w:p>
    <w:p>
      <w:pPr>
        <w:spacing w:line="360" w:lineRule="auto"/>
        <w:ind w:firstLine="720" w:firstLineChars="3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依据《中华人民共和国民法典》的约定，甲乙双方经充分协商，就甲方委托乙方进行</w:t>
      </w:r>
      <w:r>
        <w:rPr>
          <w:rFonts w:ascii="宋体" w:hAnsi="宋体"/>
          <w:color w:val="000000" w:themeColor="text1"/>
          <w:sz w:val="24"/>
          <w:u w:val="single"/>
          <w14:textFill>
            <w14:solidFill>
              <w14:schemeClr w14:val="tx1"/>
            </w14:solidFill>
          </w14:textFill>
        </w:rPr>
        <w:t>***********服务</w:t>
      </w:r>
      <w:r>
        <w:rPr>
          <w:rFonts w:hint="eastAsia" w:ascii="宋体" w:hAnsi="宋体"/>
          <w:color w:val="000000" w:themeColor="text1"/>
          <w:sz w:val="24"/>
          <w:u w:val="single"/>
          <w14:textFill>
            <w14:solidFill>
              <w14:schemeClr w14:val="tx1"/>
            </w14:solidFill>
          </w14:textFill>
        </w:rPr>
        <w:t>采购项目</w:t>
      </w:r>
      <w:r>
        <w:rPr>
          <w:rFonts w:hint="eastAsia" w:ascii="宋体" w:hAnsi="宋体"/>
          <w:color w:val="000000" w:themeColor="text1"/>
          <w:sz w:val="24"/>
          <w14:textFill>
            <w14:solidFill>
              <w14:schemeClr w14:val="tx1"/>
            </w14:solidFill>
          </w14:textFill>
        </w:rPr>
        <w:t>事宜，同意按照以下条款签订本合同并执行。</w:t>
      </w:r>
    </w:p>
    <w:p>
      <w:pPr>
        <w:spacing w:line="360" w:lineRule="auto"/>
        <w:rPr>
          <w:rFonts w:ascii="宋体" w:hAnsi="宋体"/>
          <w:color w:val="000000" w:themeColor="text1"/>
          <w:sz w:val="24"/>
          <w14:textFill>
            <w14:solidFill>
              <w14:schemeClr w14:val="tx1"/>
            </w14:solidFill>
          </w14:textFill>
        </w:rPr>
      </w:pPr>
    </w:p>
    <w:p>
      <w:pPr>
        <w:pStyle w:val="4"/>
        <w:numPr>
          <w:ilvl w:val="0"/>
          <w:numId w:val="6"/>
        </w:numPr>
        <w:spacing w:before="0" w:after="0" w:line="360" w:lineRule="auto"/>
        <w:rPr>
          <w:rFonts w:ascii="宋体" w:hAnsi="宋体" w:eastAsia="宋体"/>
          <w:color w:val="000000" w:themeColor="text1"/>
          <w:sz w:val="24"/>
          <w14:textFill>
            <w14:solidFill>
              <w14:schemeClr w14:val="tx1"/>
            </w14:solidFill>
          </w14:textFill>
        </w:rPr>
      </w:pPr>
      <w:bookmarkStart w:id="0" w:name="_Toc299547111"/>
      <w:bookmarkStart w:id="1" w:name="_Toc5768"/>
      <w:r>
        <w:rPr>
          <w:rFonts w:hint="eastAsia" w:ascii="宋体" w:hAnsi="宋体" w:eastAsia="宋体"/>
          <w:color w:val="000000" w:themeColor="text1"/>
          <w:sz w:val="24"/>
          <w14:textFill>
            <w14:solidFill>
              <w14:schemeClr w14:val="tx1"/>
            </w14:solidFill>
          </w14:textFill>
        </w:rPr>
        <w:t>产品及服务的</w:t>
      </w:r>
      <w:bookmarkEnd w:id="0"/>
      <w:r>
        <w:rPr>
          <w:rFonts w:hint="eastAsia" w:ascii="宋体" w:hAnsi="宋体" w:eastAsia="宋体"/>
          <w:color w:val="000000" w:themeColor="text1"/>
          <w:sz w:val="24"/>
          <w14:textFill>
            <w14:solidFill>
              <w14:schemeClr w14:val="tx1"/>
            </w14:solidFill>
          </w14:textFill>
        </w:rPr>
        <w:t>内容和要求</w:t>
      </w:r>
      <w:bookmarkEnd w:id="1"/>
    </w:p>
    <w:p>
      <w:pPr>
        <w:spacing w:line="360" w:lineRule="auto"/>
        <w:ind w:firstLine="420" w:firstLineChars="200"/>
        <w:rPr>
          <w:rFonts w:ascii="宋体" w:hAnsi="宋体"/>
          <w:color w:val="000000" w:themeColor="text1"/>
          <w:sz w:val="24"/>
          <w14:textFill>
            <w14:solidFill>
              <w14:schemeClr w14:val="tx1"/>
            </w14:solidFill>
          </w14:textFill>
        </w:rPr>
      </w:pPr>
      <w:r>
        <w:rPr>
          <w:rFonts w:hint="eastAsia" w:hAnsi="宋体"/>
          <w:color w:val="000000" w:themeColor="text1"/>
          <w14:textFill>
            <w14:solidFill>
              <w14:schemeClr w14:val="tx1"/>
            </w14:solidFill>
          </w14:textFill>
        </w:rPr>
        <w:t xml:space="preserve">软件产品及服务、数量和价格                </w:t>
      </w:r>
      <w:bookmarkStart w:id="2" w:name="_Toc15343"/>
      <w:bookmarkStart w:id="3" w:name="_Toc299547115"/>
    </w:p>
    <w:p>
      <w:pPr>
        <w:pStyle w:val="4"/>
        <w:numPr>
          <w:ilvl w:val="0"/>
          <w:numId w:val="6"/>
        </w:numPr>
        <w:spacing w:before="0" w:after="0" w:line="360" w:lineRule="auto"/>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甲方权利义务</w:t>
      </w:r>
      <w:bookmarkEnd w:id="2"/>
      <w:bookmarkEnd w:id="3"/>
    </w:p>
    <w:p>
      <w:pPr>
        <w:numPr>
          <w:ilvl w:val="1"/>
          <w:numId w:val="7"/>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配合乙方的工作，在服务实施的过程中为乙方提供必要的工作条件和场地。</w:t>
      </w:r>
    </w:p>
    <w:p>
      <w:pPr>
        <w:numPr>
          <w:ilvl w:val="1"/>
          <w:numId w:val="7"/>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如有必要，甲方应协助乙方保留一个外部备份程序以便重建丢失或改变的文件、数据或程序，并负责落实这些材料的重建工作。</w:t>
      </w:r>
    </w:p>
    <w:p>
      <w:pPr>
        <w:numPr>
          <w:ilvl w:val="1"/>
          <w:numId w:val="7"/>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甲方有权要求乙方提供满足服务实施要求的团队。</w:t>
      </w:r>
    </w:p>
    <w:p>
      <w:pPr>
        <w:numPr>
          <w:ilvl w:val="1"/>
          <w:numId w:val="7"/>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甲方按照本合同规定按时向乙方支付款项。</w:t>
      </w:r>
    </w:p>
    <w:p>
      <w:pPr>
        <w:numPr>
          <w:ilvl w:val="1"/>
          <w:numId w:val="7"/>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甲方应遵守本合同《保密协议》及其他相关条款的约定。</w:t>
      </w:r>
    </w:p>
    <w:p>
      <w:pPr>
        <w:numPr>
          <w:ilvl w:val="1"/>
          <w:numId w:val="7"/>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当系统发生故障时，甲方应及时向乙方报告故障现象、错误信息等有关信息，以便乙方及时分析故障，有准备地到现场及时修复设备。</w:t>
      </w:r>
    </w:p>
    <w:p>
      <w:pPr>
        <w:numPr>
          <w:ilvl w:val="1"/>
          <w:numId w:val="7"/>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对偶发性及间断性故障，甲方应协助乙方做好故障跟踪工作，根据乙方提出的要求及方法进行记录。</w:t>
      </w:r>
    </w:p>
    <w:p>
      <w:pPr>
        <w:numPr>
          <w:ilvl w:val="1"/>
          <w:numId w:val="7"/>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甲方应为乙方工程师到场维护提供必要的工作场地。在不影响正常业务开展的情况下，尽量向乙方提供维护修机时间并安排系统人员协助乙方工作。</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pStyle w:val="4"/>
        <w:numPr>
          <w:ilvl w:val="0"/>
          <w:numId w:val="6"/>
        </w:numPr>
        <w:spacing w:before="0" w:after="0" w:line="360" w:lineRule="auto"/>
        <w:rPr>
          <w:rFonts w:ascii="宋体" w:hAnsi="宋体" w:eastAsia="宋体"/>
          <w:color w:val="000000" w:themeColor="text1"/>
          <w:sz w:val="24"/>
          <w14:textFill>
            <w14:solidFill>
              <w14:schemeClr w14:val="tx1"/>
            </w14:solidFill>
          </w14:textFill>
        </w:rPr>
      </w:pPr>
      <w:bookmarkStart w:id="4" w:name="_Toc20923"/>
      <w:bookmarkStart w:id="5" w:name="_Toc299547116"/>
      <w:r>
        <w:rPr>
          <w:rFonts w:hint="eastAsia" w:ascii="宋体" w:hAnsi="宋体" w:eastAsia="宋体"/>
          <w:color w:val="000000" w:themeColor="text1"/>
          <w:sz w:val="24"/>
          <w14:textFill>
            <w14:solidFill>
              <w14:schemeClr w14:val="tx1"/>
            </w14:solidFill>
          </w14:textFill>
        </w:rPr>
        <w:t>乙方权利义务</w:t>
      </w:r>
      <w:bookmarkEnd w:id="4"/>
      <w:bookmarkEnd w:id="5"/>
    </w:p>
    <w:p>
      <w:pPr>
        <w:numPr>
          <w:ilvl w:val="1"/>
          <w:numId w:val="8"/>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乙方保证提供服务的团队人员的数量和素质满足履行本合同的要求；保证团队的稳定性，未经甲方同意不得随意更换团队成员；如果乙方团队成员不满足甲方要求，乙方应根据要求更换。</w:t>
      </w:r>
    </w:p>
    <w:p>
      <w:pPr>
        <w:numPr>
          <w:ilvl w:val="1"/>
          <w:numId w:val="8"/>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乙方不得将此合同涉及服务实施转包、变相转包及分包。</w:t>
      </w:r>
    </w:p>
    <w:p>
      <w:pPr>
        <w:numPr>
          <w:ilvl w:val="1"/>
          <w:numId w:val="8"/>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乙方应遵守本合同《保密协议》及其他相关条款的约定</w:t>
      </w:r>
    </w:p>
    <w:p>
      <w:pPr>
        <w:numPr>
          <w:ilvl w:val="1"/>
          <w:numId w:val="8"/>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乙方应按照本合同的要求，如期完成服务实施工作。</w:t>
      </w:r>
    </w:p>
    <w:p>
      <w:pPr>
        <w:numPr>
          <w:ilvl w:val="1"/>
          <w:numId w:val="8"/>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乙方承诺7*24小时受理远程服务请求，具体服务响应指标和服务处理指标按照本合同的要求。</w:t>
      </w:r>
    </w:p>
    <w:p>
      <w:pPr>
        <w:numPr>
          <w:ilvl w:val="1"/>
          <w:numId w:val="8"/>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乙方在为甲方提供服务的过程中，应配合甲方进行相应的人员管理工作，驻场工作人员须遵守甲方相应的规章制度。</w:t>
      </w:r>
    </w:p>
    <w:p>
      <w:pPr>
        <w:numPr>
          <w:ilvl w:val="1"/>
          <w:numId w:val="8"/>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如在规定的时间内未能及时排除甲方系统故障，则甲方有权委托其他公司进行故障维修，所涉及的维修费用由乙方承担。</w:t>
      </w:r>
    </w:p>
    <w:p>
      <w:pPr>
        <w:numPr>
          <w:ilvl w:val="1"/>
          <w:numId w:val="8"/>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乙方确保所提供的服务不侵犯任何第三方的正当权益。</w:t>
      </w:r>
    </w:p>
    <w:p>
      <w:pPr>
        <w:numPr>
          <w:ilvl w:val="1"/>
          <w:numId w:val="8"/>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因公司业务转型、分立合并或其他原因等导致乙方无法继续为甲方提供本合同项下服务实施或后续技术支持服务时，乙方愿意无条件协助甲方或甲方指定的第三方公司完成对系统后续实施或后续技术支持服务的顺利过渡，所涉及的维修费用由乙方承担。</w:t>
      </w:r>
    </w:p>
    <w:p>
      <w:pPr>
        <w:spacing w:line="360" w:lineRule="auto"/>
        <w:rPr>
          <w:rFonts w:ascii="宋体" w:hAnsi="宋体"/>
          <w:color w:val="000000" w:themeColor="text1"/>
          <w:sz w:val="24"/>
          <w14:textFill>
            <w14:solidFill>
              <w14:schemeClr w14:val="tx1"/>
            </w14:solidFill>
          </w14:textFill>
        </w:rPr>
      </w:pPr>
    </w:p>
    <w:p>
      <w:pPr>
        <w:pStyle w:val="4"/>
        <w:numPr>
          <w:ilvl w:val="0"/>
          <w:numId w:val="6"/>
        </w:numPr>
        <w:spacing w:before="0" w:after="0" w:line="360" w:lineRule="auto"/>
        <w:rPr>
          <w:rFonts w:ascii="宋体" w:hAnsi="宋体" w:eastAsia="宋体"/>
          <w:color w:val="000000" w:themeColor="text1"/>
          <w:sz w:val="24"/>
          <w14:textFill>
            <w14:solidFill>
              <w14:schemeClr w14:val="tx1"/>
            </w14:solidFill>
          </w14:textFill>
        </w:rPr>
      </w:pPr>
      <w:bookmarkStart w:id="6" w:name="_Toc299547117"/>
      <w:bookmarkStart w:id="7" w:name="_Toc19916"/>
      <w:r>
        <w:rPr>
          <w:rFonts w:hint="eastAsia" w:ascii="宋体" w:hAnsi="宋体" w:eastAsia="宋体"/>
          <w:color w:val="000000" w:themeColor="text1"/>
          <w:sz w:val="24"/>
          <w14:textFill>
            <w14:solidFill>
              <w14:schemeClr w14:val="tx1"/>
            </w14:solidFill>
          </w14:textFill>
        </w:rPr>
        <w:t>合同金额和支付</w:t>
      </w:r>
      <w:bookmarkEnd w:id="6"/>
      <w:bookmarkEnd w:id="7"/>
    </w:p>
    <w:p>
      <w:pPr>
        <w:numPr>
          <w:ilvl w:val="1"/>
          <w:numId w:val="9"/>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合同金额：本合同总金额为人民币（大写）</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元整</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元。本合同有效期内所有服务均无需额外收费。</w:t>
      </w:r>
    </w:p>
    <w:p>
      <w:pPr>
        <w:numPr>
          <w:ilvl w:val="1"/>
          <w:numId w:val="9"/>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合同价款的支付条件及支付比例，按以下方式执行：</w:t>
      </w:r>
    </w:p>
    <w:p>
      <w:pPr>
        <w:pStyle w:val="26"/>
        <w:spacing w:line="360" w:lineRule="auto"/>
        <w:ind w:left="907" w:firstLine="0"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w:t>
      </w:r>
      <w:r>
        <w:rPr>
          <w:rFonts w:hint="eastAsia" w:ascii="宋体" w:hAnsi="宋体"/>
          <w:color w:val="000000" w:themeColor="text1"/>
          <w:sz w:val="24"/>
          <w:u w:val="single"/>
          <w14:textFill>
            <w14:solidFill>
              <w14:schemeClr w14:val="tx1"/>
            </w14:solidFill>
          </w14:textFill>
        </w:rPr>
        <w:t xml:space="preserve"> 2 </w:t>
      </w:r>
      <w:r>
        <w:rPr>
          <w:rFonts w:hint="eastAsia" w:ascii="宋体" w:hAnsi="宋体"/>
          <w:color w:val="000000" w:themeColor="text1"/>
          <w:sz w:val="24"/>
          <w14:textFill>
            <w14:solidFill>
              <w14:schemeClr w14:val="tx1"/>
            </w14:solidFill>
          </w14:textFill>
        </w:rPr>
        <w:t>个阶段付款</w:t>
      </w:r>
    </w:p>
    <w:tbl>
      <w:tblPr>
        <w:tblStyle w:val="12"/>
        <w:tblW w:w="8450"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694"/>
        <w:gridCol w:w="1842"/>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55" w:type="dxa"/>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阶段</w:t>
            </w:r>
          </w:p>
        </w:tc>
        <w:tc>
          <w:tcPr>
            <w:tcW w:w="2694" w:type="dxa"/>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付款条件</w:t>
            </w:r>
          </w:p>
        </w:tc>
        <w:tc>
          <w:tcPr>
            <w:tcW w:w="1842" w:type="dxa"/>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付款比例</w:t>
            </w:r>
          </w:p>
        </w:tc>
        <w:tc>
          <w:tcPr>
            <w:tcW w:w="2559" w:type="dxa"/>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付款金额(元)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355"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w:t>
            </w:r>
            <w:r>
              <w:rPr>
                <w:rFonts w:hint="eastAsia" w:ascii="宋体" w:hAnsi="宋体"/>
                <w:color w:val="000000" w:themeColor="text1"/>
                <w:szCs w:val="21"/>
                <w:u w:val="single"/>
                <w14:textFill>
                  <w14:solidFill>
                    <w14:schemeClr w14:val="tx1"/>
                  </w14:solidFill>
                </w14:textFill>
              </w:rPr>
              <w:t xml:space="preserve"> 1 </w:t>
            </w:r>
            <w:r>
              <w:rPr>
                <w:rFonts w:hint="eastAsia" w:ascii="宋体" w:hAnsi="宋体"/>
                <w:color w:val="000000" w:themeColor="text1"/>
                <w:szCs w:val="21"/>
                <w14:textFill>
                  <w14:solidFill>
                    <w14:schemeClr w14:val="tx1"/>
                  </w14:solidFill>
                </w14:textFill>
              </w:rPr>
              <w:t>阶段</w:t>
            </w:r>
          </w:p>
        </w:tc>
        <w:tc>
          <w:tcPr>
            <w:tcW w:w="2694" w:type="dxa"/>
          </w:tcPr>
          <w:p>
            <w:pPr>
              <w:rPr>
                <w:rFonts w:ascii="宋体" w:hAnsi="宋体"/>
                <w:i/>
                <w:color w:val="000000" w:themeColor="text1"/>
                <w:szCs w:val="21"/>
                <w14:textFill>
                  <w14:solidFill>
                    <w14:schemeClr w14:val="tx1"/>
                  </w14:solidFill>
                </w14:textFill>
              </w:rPr>
            </w:pPr>
          </w:p>
        </w:tc>
        <w:tc>
          <w:tcPr>
            <w:tcW w:w="1842" w:type="dxa"/>
            <w:vAlign w:val="center"/>
          </w:tcPr>
          <w:p>
            <w:pPr>
              <w:jc w:val="center"/>
              <w:rPr>
                <w:rFonts w:ascii="宋体" w:hAnsi="宋体"/>
                <w:color w:val="000000" w:themeColor="text1"/>
                <w:szCs w:val="21"/>
                <w14:textFill>
                  <w14:solidFill>
                    <w14:schemeClr w14:val="tx1"/>
                  </w14:solidFill>
                </w14:textFill>
              </w:rPr>
            </w:pPr>
          </w:p>
        </w:tc>
        <w:tc>
          <w:tcPr>
            <w:tcW w:w="2559"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355"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w:t>
            </w:r>
            <w:r>
              <w:rPr>
                <w:rFonts w:hint="eastAsia" w:ascii="宋体" w:hAnsi="宋体"/>
                <w:color w:val="000000" w:themeColor="text1"/>
                <w:szCs w:val="21"/>
                <w:u w:val="single"/>
                <w14:textFill>
                  <w14:solidFill>
                    <w14:schemeClr w14:val="tx1"/>
                  </w14:solidFill>
                </w14:textFill>
              </w:rPr>
              <w:t xml:space="preserve"> 2 </w:t>
            </w:r>
            <w:r>
              <w:rPr>
                <w:rFonts w:hint="eastAsia" w:ascii="宋体" w:hAnsi="宋体"/>
                <w:color w:val="000000" w:themeColor="text1"/>
                <w:szCs w:val="21"/>
                <w14:textFill>
                  <w14:solidFill>
                    <w14:schemeClr w14:val="tx1"/>
                  </w14:solidFill>
                </w14:textFill>
              </w:rPr>
              <w:t>阶段</w:t>
            </w:r>
          </w:p>
        </w:tc>
        <w:tc>
          <w:tcPr>
            <w:tcW w:w="2694" w:type="dxa"/>
          </w:tcPr>
          <w:p>
            <w:pPr>
              <w:rPr>
                <w:rFonts w:ascii="宋体" w:hAnsi="宋体"/>
                <w:color w:val="000000" w:themeColor="text1"/>
                <w:szCs w:val="21"/>
                <w14:textFill>
                  <w14:solidFill>
                    <w14:schemeClr w14:val="tx1"/>
                  </w14:solidFill>
                </w14:textFill>
              </w:rPr>
            </w:pPr>
          </w:p>
        </w:tc>
        <w:tc>
          <w:tcPr>
            <w:tcW w:w="1842" w:type="dxa"/>
            <w:vAlign w:val="center"/>
          </w:tcPr>
          <w:p>
            <w:pPr>
              <w:jc w:val="center"/>
              <w:rPr>
                <w:rFonts w:ascii="宋体" w:hAnsi="宋体"/>
                <w:color w:val="000000" w:themeColor="text1"/>
                <w:szCs w:val="21"/>
                <w14:textFill>
                  <w14:solidFill>
                    <w14:schemeClr w14:val="tx1"/>
                  </w14:solidFill>
                </w14:textFill>
              </w:rPr>
            </w:pPr>
          </w:p>
        </w:tc>
        <w:tc>
          <w:tcPr>
            <w:tcW w:w="2559" w:type="dxa"/>
            <w:vAlign w:val="center"/>
          </w:tcPr>
          <w:p>
            <w:pPr>
              <w:jc w:val="center"/>
              <w:rPr>
                <w:rFonts w:ascii="宋体" w:hAnsi="宋体"/>
                <w:color w:val="000000" w:themeColor="text1"/>
                <w:szCs w:val="21"/>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 甲方应将合同款项汇至乙方如下账户：</w:t>
      </w:r>
    </w:p>
    <w:p>
      <w:pPr>
        <w:spacing w:line="360" w:lineRule="auto"/>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账户名称：</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账号：                              </w:t>
      </w:r>
    </w:p>
    <w:p>
      <w:pPr>
        <w:spacing w:line="360" w:lineRule="auto"/>
        <w:ind w:left="420"/>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 如账户发生变更的，乙方应在本合同约定的相应付款期限前</w:t>
      </w:r>
      <w:r>
        <w:rPr>
          <w:rFonts w:hint="eastAsia" w:ascii="宋体" w:hAnsi="宋体"/>
          <w:color w:val="000000" w:themeColor="text1"/>
          <w:sz w:val="24"/>
          <w:u w:val="single"/>
          <w14:textFill>
            <w14:solidFill>
              <w14:schemeClr w14:val="tx1"/>
            </w14:solidFill>
          </w14:textFill>
        </w:rPr>
        <w:t xml:space="preserve"> 10 </w:t>
      </w:r>
      <w:r>
        <w:rPr>
          <w:rFonts w:hint="eastAsia" w:ascii="宋体" w:hAnsi="宋体"/>
          <w:color w:val="000000" w:themeColor="text1"/>
          <w:sz w:val="24"/>
          <w14:textFill>
            <w14:solidFill>
              <w14:schemeClr w14:val="tx1"/>
            </w14:solidFill>
          </w14:textFill>
        </w:rPr>
        <w:t>个工作日以书面方式通知甲方。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4.5 乙方应根据甲方的要求开具符合国家约定的等额发票并交付甲方，甲方收到乙方的正式商业发票后，按以上所选方式支付相应的款项，发生的一切税费及其他费用均由乙方负担。</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4.6乙方向甲方所提供的增值税专用发票，需依据甲方提供的如下信息开具。如以下信息有所修正，甲方应及时以书面或邮件方式通知乙方。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纳税人名称：江苏昆山农村商业银行股份有限公司</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纳税人国税登记证识别号（“三证合一” 后为统一社会信用代码）：</w:t>
      </w:r>
      <w:r>
        <w:rPr>
          <w:rFonts w:hint="eastAsia" w:ascii="宋体" w:hAnsi="宋体"/>
          <w:color w:val="000000" w:themeColor="text1"/>
          <w:sz w:val="24"/>
          <w:u w:val="single"/>
          <w14:textFill>
            <w14:solidFill>
              <w14:schemeClr w14:val="tx1"/>
            </w14:solidFill>
          </w14:textFill>
        </w:rPr>
        <w:t>91320500770509049M</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银行账号：</w:t>
      </w:r>
      <w:r>
        <w:rPr>
          <w:rFonts w:ascii="宋体" w:hAnsi="宋体"/>
          <w:color w:val="000000" w:themeColor="text1"/>
          <w:sz w:val="24"/>
          <w14:textFill>
            <w14:solidFill>
              <w14:schemeClr w14:val="tx1"/>
            </w14:solidFill>
          </w14:textFill>
        </w:rPr>
        <w:t>7066500521120100002809</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户名：江苏昆山农村商业银行股份有限公司</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开户行：昆山农商银行营业部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地址：江苏省昆山市前进东路828号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联系电话：0512-57379236</w:t>
      </w:r>
    </w:p>
    <w:p>
      <w:pPr>
        <w:spacing w:line="360" w:lineRule="auto"/>
        <w:rPr>
          <w:rFonts w:ascii="宋体" w:hAnsi="宋体"/>
          <w:color w:val="000000" w:themeColor="text1"/>
          <w:sz w:val="24"/>
          <w14:textFill>
            <w14:solidFill>
              <w14:schemeClr w14:val="tx1"/>
            </w14:solidFill>
          </w14:textFill>
        </w:rPr>
      </w:pPr>
    </w:p>
    <w:p>
      <w:pPr>
        <w:pStyle w:val="3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pStyle w:val="4"/>
        <w:numPr>
          <w:ilvl w:val="0"/>
          <w:numId w:val="6"/>
        </w:numPr>
        <w:spacing w:before="0" w:after="0" w:line="360" w:lineRule="auto"/>
        <w:rPr>
          <w:rFonts w:ascii="宋体" w:hAnsi="宋体" w:eastAsia="宋体"/>
          <w:color w:val="000000" w:themeColor="text1"/>
          <w:sz w:val="24"/>
          <w14:textFill>
            <w14:solidFill>
              <w14:schemeClr w14:val="tx1"/>
            </w14:solidFill>
          </w14:textFill>
        </w:rPr>
      </w:pPr>
      <w:bookmarkStart w:id="8" w:name="_Toc8186"/>
      <w:bookmarkStart w:id="9" w:name="_Toc299547123"/>
      <w:r>
        <w:rPr>
          <w:rFonts w:hint="eastAsia" w:ascii="宋体" w:hAnsi="宋体" w:eastAsia="宋体"/>
          <w:color w:val="000000" w:themeColor="text1"/>
          <w:sz w:val="24"/>
          <w14:textFill>
            <w14:solidFill>
              <w14:schemeClr w14:val="tx1"/>
            </w14:solidFill>
          </w14:textFill>
        </w:rPr>
        <w:t>保密条款</w:t>
      </w:r>
      <w:bookmarkEnd w:id="8"/>
      <w:bookmarkEnd w:id="9"/>
    </w:p>
    <w:p>
      <w:pPr>
        <w:numPr>
          <w:ilvl w:val="1"/>
          <w:numId w:val="10"/>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一方对合同履行过程中获得的另一方的商业秘密负有保密义务，具体见附件《保密协议》。</w:t>
      </w:r>
    </w:p>
    <w:p>
      <w:pPr>
        <w:numPr>
          <w:ilvl w:val="1"/>
          <w:numId w:val="10"/>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商业秘密的保密期限为本合同履行期间及本合同终止后</w:t>
      </w:r>
      <w:r>
        <w:rPr>
          <w:rFonts w:hint="eastAsia" w:ascii="宋体" w:hAnsi="宋体"/>
          <w:color w:val="000000" w:themeColor="text1"/>
          <w:sz w:val="24"/>
          <w:u w:val="single"/>
          <w14:textFill>
            <w14:solidFill>
              <w14:schemeClr w14:val="tx1"/>
            </w14:solidFill>
          </w14:textFill>
        </w:rPr>
        <w:t>20</w:t>
      </w:r>
      <w:r>
        <w:rPr>
          <w:rFonts w:hint="eastAsia" w:ascii="宋体" w:hAnsi="宋体"/>
          <w:color w:val="000000" w:themeColor="text1"/>
          <w:sz w:val="24"/>
          <w14:textFill>
            <w14:solidFill>
              <w14:schemeClr w14:val="tx1"/>
            </w14:solidFill>
          </w14:textFill>
        </w:rPr>
        <w:t>年。</w:t>
      </w:r>
    </w:p>
    <w:p>
      <w:pPr>
        <w:spacing w:line="360" w:lineRule="auto"/>
        <w:rPr>
          <w:rFonts w:ascii="宋体" w:hAnsi="宋体"/>
          <w:color w:val="000000" w:themeColor="text1"/>
          <w:sz w:val="24"/>
          <w14:textFill>
            <w14:solidFill>
              <w14:schemeClr w14:val="tx1"/>
            </w14:solidFill>
          </w14:textFill>
        </w:rPr>
      </w:pPr>
    </w:p>
    <w:p>
      <w:pPr>
        <w:pStyle w:val="4"/>
        <w:numPr>
          <w:ilvl w:val="0"/>
          <w:numId w:val="6"/>
        </w:numPr>
        <w:spacing w:before="0" w:after="0" w:line="360" w:lineRule="auto"/>
        <w:rPr>
          <w:rFonts w:ascii="宋体" w:hAnsi="宋体" w:eastAsia="宋体"/>
          <w:color w:val="000000" w:themeColor="text1"/>
          <w:sz w:val="24"/>
          <w14:textFill>
            <w14:solidFill>
              <w14:schemeClr w14:val="tx1"/>
            </w14:solidFill>
          </w14:textFill>
        </w:rPr>
      </w:pPr>
      <w:bookmarkStart w:id="10" w:name="_Toc365467758"/>
      <w:bookmarkStart w:id="11" w:name="_Toc299547124"/>
      <w:bookmarkStart w:id="12" w:name="_Toc2130"/>
      <w:r>
        <w:rPr>
          <w:rFonts w:hint="eastAsia" w:ascii="宋体" w:hAnsi="宋体" w:eastAsia="宋体"/>
          <w:color w:val="000000" w:themeColor="text1"/>
          <w:sz w:val="24"/>
          <w14:textFill>
            <w14:solidFill>
              <w14:schemeClr w14:val="tx1"/>
            </w14:solidFill>
          </w14:textFill>
        </w:rPr>
        <w:t>违约</w:t>
      </w:r>
      <w:bookmarkEnd w:id="10"/>
      <w:bookmarkEnd w:id="11"/>
      <w:r>
        <w:rPr>
          <w:rFonts w:hint="eastAsia" w:ascii="宋体" w:hAnsi="宋体" w:eastAsia="宋体"/>
          <w:color w:val="000000" w:themeColor="text1"/>
          <w:sz w:val="24"/>
          <w14:textFill>
            <w14:solidFill>
              <w14:schemeClr w14:val="tx1"/>
            </w14:solidFill>
          </w14:textFill>
        </w:rPr>
        <w:t>责任及损失赔偿</w:t>
      </w:r>
      <w:bookmarkEnd w:id="12"/>
    </w:p>
    <w:p>
      <w:pPr>
        <w:numPr>
          <w:ilvl w:val="1"/>
          <w:numId w:val="11"/>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付款违约：如果甲方未在本合同及附件约定的期限内向乙方支付相应的价款，每延迟一日，应向乙方支付相当于合同总金额 </w:t>
      </w:r>
      <w:r>
        <w:rPr>
          <w:rFonts w:hint="eastAsia" w:ascii="宋体" w:hAnsi="宋体"/>
          <w:color w:val="000000" w:themeColor="text1"/>
          <w:sz w:val="24"/>
          <w:u w:val="single"/>
          <w14:textFill>
            <w14:solidFill>
              <w14:schemeClr w14:val="tx1"/>
            </w14:solidFill>
          </w14:textFill>
        </w:rPr>
        <w:t>1</w:t>
      </w:r>
      <w:r>
        <w:rPr>
          <w:rFonts w:hint="eastAsia" w:ascii="宋体" w:hAnsi="宋体"/>
          <w:color w:val="000000" w:themeColor="text1"/>
          <w:sz w:val="24"/>
          <w14:textFill>
            <w14:solidFill>
              <w14:schemeClr w14:val="tx1"/>
            </w14:solidFill>
          </w14:textFill>
        </w:rPr>
        <w:t>％的违约金，非甲方原因导致的除外。</w:t>
      </w:r>
    </w:p>
    <w:p>
      <w:pPr>
        <w:numPr>
          <w:ilvl w:val="1"/>
          <w:numId w:val="11"/>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技术支持违约：在收到甲方技术支持申请后，未立刻提供电话指导的，应向甲方支付相当于合同总金额 </w:t>
      </w:r>
      <w:r>
        <w:rPr>
          <w:rFonts w:hint="eastAsia" w:ascii="宋体" w:hAnsi="宋体"/>
          <w:color w:val="000000" w:themeColor="text1"/>
          <w:sz w:val="24"/>
          <w:u w:val="single"/>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％的违约金；若甲方出现系统故障，未在 </w:t>
      </w:r>
      <w:r>
        <w:rPr>
          <w:rFonts w:hint="eastAsia" w:ascii="宋体" w:hAnsi="宋体"/>
          <w:color w:val="000000" w:themeColor="text1"/>
          <w:sz w:val="24"/>
          <w:u w:val="single"/>
          <w14:textFill>
            <w14:solidFill>
              <w14:schemeClr w14:val="tx1"/>
            </w14:solidFill>
          </w14:textFill>
        </w:rPr>
        <w:t>4</w:t>
      </w:r>
      <w:r>
        <w:rPr>
          <w:rFonts w:hint="eastAsia" w:ascii="宋体" w:hAnsi="宋体"/>
          <w:color w:val="000000" w:themeColor="text1"/>
          <w:sz w:val="24"/>
          <w14:textFill>
            <w14:solidFill>
              <w14:schemeClr w14:val="tx1"/>
            </w14:solidFill>
          </w14:textFill>
        </w:rPr>
        <w:t xml:space="preserve">小时内恢复甲方业务运行，应向甲方支付相当于合同总金额 </w:t>
      </w:r>
      <w:r>
        <w:rPr>
          <w:rFonts w:hint="eastAsia" w:ascii="宋体" w:hAnsi="宋体"/>
          <w:color w:val="000000" w:themeColor="text1"/>
          <w:sz w:val="24"/>
          <w:u w:val="single"/>
          <w14:textFill>
            <w14:solidFill>
              <w14:schemeClr w14:val="tx1"/>
            </w14:solidFill>
          </w14:textFill>
        </w:rPr>
        <w:t>5</w:t>
      </w:r>
      <w:r>
        <w:rPr>
          <w:rFonts w:hint="eastAsia" w:ascii="宋体" w:hAnsi="宋体"/>
          <w:color w:val="000000" w:themeColor="text1"/>
          <w:sz w:val="24"/>
          <w14:textFill>
            <w14:solidFill>
              <w14:schemeClr w14:val="tx1"/>
            </w14:solidFill>
          </w14:textFill>
        </w:rPr>
        <w:t>％的违约金，由于甲方原因未恢复业务运行的除外。</w:t>
      </w:r>
    </w:p>
    <w:p>
      <w:pPr>
        <w:numPr>
          <w:ilvl w:val="1"/>
          <w:numId w:val="11"/>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巡检违约：若未按时在合同约定的期限内为甲方提供巡检，每延迟一日，应向甲方支付相当于合同总金额 </w:t>
      </w:r>
      <w:r>
        <w:rPr>
          <w:rFonts w:hint="eastAsia" w:ascii="宋体" w:hAnsi="宋体"/>
          <w:color w:val="000000" w:themeColor="text1"/>
          <w:sz w:val="24"/>
          <w:u w:val="single"/>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％的违约金；为甲方提供巡检次数未达合同约定的，每少开展一次，应向甲方支付相当于合同总金额 </w:t>
      </w:r>
      <w:r>
        <w:rPr>
          <w:rFonts w:hint="eastAsia" w:ascii="宋体" w:hAnsi="宋体"/>
          <w:color w:val="000000" w:themeColor="text1"/>
          <w:sz w:val="24"/>
          <w:u w:val="single"/>
          <w14:textFill>
            <w14:solidFill>
              <w14:schemeClr w14:val="tx1"/>
            </w14:solidFill>
          </w14:textFill>
        </w:rPr>
        <w:t>1</w:t>
      </w:r>
      <w:r>
        <w:rPr>
          <w:rFonts w:hint="eastAsia" w:ascii="宋体" w:hAnsi="宋体"/>
          <w:color w:val="000000" w:themeColor="text1"/>
          <w:sz w:val="24"/>
          <w14:textFill>
            <w14:solidFill>
              <w14:schemeClr w14:val="tx1"/>
            </w14:solidFill>
          </w14:textFill>
        </w:rPr>
        <w:t>％的违约金。</w:t>
      </w:r>
    </w:p>
    <w:p>
      <w:pPr>
        <w:numPr>
          <w:ilvl w:val="1"/>
          <w:numId w:val="11"/>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最高额度：所有违约金和赔偿金的支付累计不超过本合同总金额的 </w:t>
      </w:r>
      <w:r>
        <w:rPr>
          <w:rFonts w:hint="eastAsia" w:ascii="宋体" w:hAnsi="宋体"/>
          <w:color w:val="000000" w:themeColor="text1"/>
          <w:sz w:val="24"/>
          <w:u w:val="single"/>
          <w14:textFill>
            <w14:solidFill>
              <w14:schemeClr w14:val="tx1"/>
            </w14:solidFill>
          </w14:textFill>
        </w:rPr>
        <w:t>50</w:t>
      </w:r>
      <w:r>
        <w:rPr>
          <w:rFonts w:hint="eastAsia" w:ascii="宋体" w:hAnsi="宋体"/>
          <w:color w:val="000000" w:themeColor="text1"/>
          <w:sz w:val="24"/>
          <w14:textFill>
            <w14:solidFill>
              <w14:schemeClr w14:val="tx1"/>
            </w14:solidFill>
          </w14:textFill>
        </w:rPr>
        <w:t>％。</w:t>
      </w:r>
    </w:p>
    <w:p>
      <w:pPr>
        <w:spacing w:line="360" w:lineRule="auto"/>
        <w:rPr>
          <w:rFonts w:ascii="宋体" w:hAnsi="宋体"/>
          <w:color w:val="000000" w:themeColor="text1"/>
          <w:sz w:val="24"/>
          <w14:textFill>
            <w14:solidFill>
              <w14:schemeClr w14:val="tx1"/>
            </w14:solidFill>
          </w14:textFill>
        </w:rPr>
      </w:pPr>
    </w:p>
    <w:p>
      <w:pPr>
        <w:pStyle w:val="4"/>
        <w:numPr>
          <w:ilvl w:val="0"/>
          <w:numId w:val="6"/>
        </w:numPr>
        <w:spacing w:before="0" w:after="0" w:line="360" w:lineRule="auto"/>
        <w:rPr>
          <w:rFonts w:ascii="宋体" w:hAnsi="宋体" w:eastAsia="宋体"/>
          <w:color w:val="000000" w:themeColor="text1"/>
          <w:sz w:val="24"/>
          <w14:textFill>
            <w14:solidFill>
              <w14:schemeClr w14:val="tx1"/>
            </w14:solidFill>
          </w14:textFill>
        </w:rPr>
      </w:pPr>
      <w:bookmarkStart w:id="13" w:name="_Toc16123"/>
      <w:bookmarkStart w:id="14" w:name="_Toc299547126"/>
      <w:r>
        <w:rPr>
          <w:rFonts w:hint="eastAsia" w:ascii="宋体" w:hAnsi="宋体" w:eastAsia="宋体"/>
          <w:color w:val="000000" w:themeColor="text1"/>
          <w:sz w:val="24"/>
          <w14:textFill>
            <w14:solidFill>
              <w14:schemeClr w14:val="tx1"/>
            </w14:solidFill>
          </w14:textFill>
        </w:rPr>
        <w:t>合同期限、</w:t>
      </w:r>
      <w:bookmarkEnd w:id="13"/>
      <w:bookmarkEnd w:id="14"/>
      <w:r>
        <w:rPr>
          <w:rFonts w:hint="eastAsia" w:ascii="宋体" w:hAnsi="宋体" w:eastAsia="宋体"/>
          <w:color w:val="000000" w:themeColor="text1"/>
          <w:sz w:val="24"/>
          <w14:textFill>
            <w14:solidFill>
              <w14:schemeClr w14:val="tx1"/>
            </w14:solidFill>
          </w14:textFill>
        </w:rPr>
        <w:t>合同的解除</w:t>
      </w:r>
    </w:p>
    <w:p>
      <w:pPr>
        <w:numPr>
          <w:ilvl w:val="1"/>
          <w:numId w:val="12"/>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除非有提前终止的事由出现，本合同有效期截至双方全部履行完成本合同项下的义务时终止。</w:t>
      </w:r>
    </w:p>
    <w:p>
      <w:pPr>
        <w:numPr>
          <w:ilvl w:val="1"/>
          <w:numId w:val="12"/>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甲、乙双方协商一致的，可以解除合同。</w:t>
      </w:r>
    </w:p>
    <w:p>
      <w:pPr>
        <w:numPr>
          <w:ilvl w:val="1"/>
          <w:numId w:val="12"/>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本合同一方严重违反其在本合同项下的任何义务，并且未能在对方发出书面通知指明该违约事项后</w:t>
      </w:r>
      <w:r>
        <w:rPr>
          <w:rFonts w:hint="eastAsia" w:ascii="宋体" w:hAnsi="宋体"/>
          <w:color w:val="000000" w:themeColor="text1"/>
          <w:sz w:val="24"/>
          <w:u w:val="single"/>
          <w14:textFill>
            <w14:solidFill>
              <w14:schemeClr w14:val="tx1"/>
            </w14:solidFill>
          </w14:textFill>
        </w:rPr>
        <w:t>10</w:t>
      </w:r>
      <w:r>
        <w:rPr>
          <w:rFonts w:hint="eastAsia" w:ascii="宋体" w:hAnsi="宋体"/>
          <w:color w:val="000000" w:themeColor="text1"/>
          <w:sz w:val="24"/>
          <w14:textFill>
            <w14:solidFill>
              <w14:schemeClr w14:val="tx1"/>
            </w14:solidFill>
          </w14:textFill>
        </w:rPr>
        <w:t>个工作日内改正的，守约方可以在发出解除本合同的书面通知，本合同自通知送达之日起解除。</w:t>
      </w:r>
    </w:p>
    <w:p>
      <w:pPr>
        <w:numPr>
          <w:ilvl w:val="1"/>
          <w:numId w:val="12"/>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w:t>
      </w:r>
      <w:r>
        <w:rPr>
          <w:rFonts w:hint="eastAsia" w:ascii="宋体" w:hAnsi="宋体"/>
          <w:color w:val="000000" w:themeColor="text1"/>
          <w:sz w:val="24"/>
          <w:lang w:val="zh-CN"/>
          <w14:textFill>
            <w14:solidFill>
              <w14:schemeClr w14:val="tx1"/>
            </w14:solidFill>
          </w14:textFill>
        </w:rPr>
        <w:t>必须是增值税一般纳税人，能提供增值税一般纳税人证明，开具增值税专用发票。</w:t>
      </w:r>
    </w:p>
    <w:p>
      <w:pPr>
        <w:numPr>
          <w:ilvl w:val="1"/>
          <w:numId w:val="12"/>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乙方有下列情形之一的，甲方可单方解除部分或全部合同：</w:t>
      </w:r>
    </w:p>
    <w:p>
      <w:pPr>
        <w:pStyle w:val="5"/>
        <w:numPr>
          <w:ilvl w:val="2"/>
          <w:numId w:val="13"/>
        </w:numPr>
        <w:overflowPunct w:val="0"/>
        <w:spacing w:line="360" w:lineRule="auto"/>
        <w:ind w:leftChars="4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乙方未能按合同约定的期限或甲方同意延长的限期内完成实施工作的；</w:t>
      </w:r>
    </w:p>
    <w:p>
      <w:pPr>
        <w:pStyle w:val="5"/>
        <w:numPr>
          <w:ilvl w:val="2"/>
          <w:numId w:val="13"/>
        </w:numPr>
        <w:overflowPunct w:val="0"/>
        <w:spacing w:line="360" w:lineRule="auto"/>
        <w:ind w:leftChars="4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乙方在收到甲方发出的违约通知后</w:t>
      </w:r>
      <w:r>
        <w:rPr>
          <w:rFonts w:hint="eastAsia" w:hAnsi="宋体"/>
          <w:color w:val="000000" w:themeColor="text1"/>
          <w:u w:val="single"/>
          <w14:textFill>
            <w14:solidFill>
              <w14:schemeClr w14:val="tx1"/>
            </w14:solidFill>
          </w14:textFill>
        </w:rPr>
        <w:t>10</w:t>
      </w:r>
      <w:r>
        <w:rPr>
          <w:rFonts w:hint="eastAsia" w:hAnsi="宋体"/>
          <w:color w:val="000000" w:themeColor="text1"/>
          <w14:textFill>
            <w14:solidFill>
              <w14:schemeClr w14:val="tx1"/>
            </w14:solidFill>
          </w14:textFill>
        </w:rPr>
        <w:t>天内，或经甲方书面认可延长的时间内未能纠正其过失；</w:t>
      </w:r>
    </w:p>
    <w:p>
      <w:pPr>
        <w:pStyle w:val="5"/>
        <w:numPr>
          <w:ilvl w:val="2"/>
          <w:numId w:val="13"/>
        </w:numPr>
        <w:overflowPunct w:val="0"/>
        <w:spacing w:line="360" w:lineRule="auto"/>
        <w:ind w:leftChars="4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乙方未能履行合同约定的其他义务；</w:t>
      </w:r>
    </w:p>
    <w:p>
      <w:pPr>
        <w:pStyle w:val="5"/>
        <w:numPr>
          <w:ilvl w:val="2"/>
          <w:numId w:val="13"/>
        </w:numPr>
        <w:overflowPunct w:val="0"/>
        <w:spacing w:line="360" w:lineRule="auto"/>
        <w:ind w:leftChars="4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出现法律规定可以解除合同的事由。</w:t>
      </w:r>
    </w:p>
    <w:p>
      <w:pPr>
        <w:pStyle w:val="5"/>
        <w:overflowPunct w:val="0"/>
        <w:spacing w:line="360" w:lineRule="auto"/>
        <w:ind w:left="840" w:leftChars="400" w:firstLine="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发生上述情形之一的，甲方应发出解除部分或全部合同的书面通知，合同自通知送达之日起解除。</w:t>
      </w:r>
    </w:p>
    <w:p>
      <w:pPr>
        <w:spacing w:line="360" w:lineRule="auto"/>
        <w:rPr>
          <w:rFonts w:ascii="宋体" w:hAnsi="宋体"/>
          <w:color w:val="000000" w:themeColor="text1"/>
          <w:sz w:val="24"/>
          <w14:textFill>
            <w14:solidFill>
              <w14:schemeClr w14:val="tx1"/>
            </w14:solidFill>
          </w14:textFill>
        </w:rPr>
      </w:pPr>
    </w:p>
    <w:p>
      <w:pPr>
        <w:pStyle w:val="4"/>
        <w:numPr>
          <w:ilvl w:val="0"/>
          <w:numId w:val="6"/>
        </w:numPr>
        <w:spacing w:before="0" w:after="0" w:line="360" w:lineRule="auto"/>
        <w:rPr>
          <w:rFonts w:ascii="宋体" w:hAnsi="宋体" w:eastAsia="宋体"/>
          <w:color w:val="000000" w:themeColor="text1"/>
          <w:sz w:val="24"/>
          <w14:textFill>
            <w14:solidFill>
              <w14:schemeClr w14:val="tx1"/>
            </w14:solidFill>
          </w14:textFill>
        </w:rPr>
      </w:pPr>
      <w:bookmarkStart w:id="15" w:name="_Toc299547127"/>
      <w:bookmarkStart w:id="16" w:name="_Toc22759"/>
      <w:r>
        <w:rPr>
          <w:rFonts w:hint="eastAsia" w:ascii="宋体" w:hAnsi="宋体" w:eastAsia="宋体"/>
          <w:color w:val="000000" w:themeColor="text1"/>
          <w:sz w:val="24"/>
          <w14:textFill>
            <w14:solidFill>
              <w14:schemeClr w14:val="tx1"/>
            </w14:solidFill>
          </w14:textFill>
        </w:rPr>
        <w:t>不可抗力</w:t>
      </w:r>
      <w:bookmarkEnd w:id="15"/>
      <w:bookmarkEnd w:id="16"/>
    </w:p>
    <w:p>
      <w:pPr>
        <w:numPr>
          <w:ilvl w:val="1"/>
          <w:numId w:val="14"/>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本条所述的“不可抗力”系指那些双方无法控制、不可预见的事件，但不包括乙方的违约或疏忽。这些事件包括：战争、严重火灾、洪水、台风、地震。</w:t>
      </w:r>
    </w:p>
    <w:p>
      <w:pPr>
        <w:numPr>
          <w:ilvl w:val="1"/>
          <w:numId w:val="14"/>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当事人一方因不可抗力不能履行合同的，根据不可抗力的影响，部分或全部免除责任。但当事人一方应及时通知对方，并采取适当措施防止损失扩大，同时应在一周内提供事件详情及不能履行其在本合同项下的全部或部分义务的理由的有效文件。上述有效文件应由事件发生地政府主管部门出具或经公证机构出具公证证明。不可抗力事件发生后双方应立即协商寻找合理办法，并尽一切努力减轻不可抗力的影响后果。</w:t>
      </w:r>
    </w:p>
    <w:p>
      <w:pPr>
        <w:numPr>
          <w:ilvl w:val="1"/>
          <w:numId w:val="14"/>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在不可抗力发生后及其持续期间，双方应尽其可能继续履行其在本合同项下的义务，乙方应在出现这种情况期间保护和确保项目实施安全。乙方应通知甲方其所建议采取的有关保护措施。</w:t>
      </w:r>
    </w:p>
    <w:p>
      <w:pPr>
        <w:numPr>
          <w:ilvl w:val="1"/>
          <w:numId w:val="14"/>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合同第8.2款提及的“有效文件”可采用当面递交或邮寄方式送达。通知等其他文件可采取当面递交或传真方式发送至对方。</w:t>
      </w:r>
    </w:p>
    <w:p>
      <w:pPr>
        <w:spacing w:line="360" w:lineRule="auto"/>
        <w:rPr>
          <w:rFonts w:ascii="宋体" w:hAnsi="宋体"/>
          <w:color w:val="000000" w:themeColor="text1"/>
          <w:sz w:val="24"/>
          <w14:textFill>
            <w14:solidFill>
              <w14:schemeClr w14:val="tx1"/>
            </w14:solidFill>
          </w14:textFill>
        </w:rPr>
      </w:pPr>
    </w:p>
    <w:p>
      <w:pPr>
        <w:pStyle w:val="4"/>
        <w:numPr>
          <w:ilvl w:val="0"/>
          <w:numId w:val="6"/>
        </w:numPr>
        <w:spacing w:before="0" w:after="0" w:line="360" w:lineRule="auto"/>
        <w:rPr>
          <w:rFonts w:ascii="宋体" w:hAnsi="宋体" w:eastAsia="宋体"/>
          <w:color w:val="000000" w:themeColor="text1"/>
          <w:sz w:val="24"/>
          <w14:textFill>
            <w14:solidFill>
              <w14:schemeClr w14:val="tx1"/>
            </w14:solidFill>
          </w14:textFill>
        </w:rPr>
      </w:pPr>
      <w:bookmarkStart w:id="17" w:name="_Toc299547128"/>
      <w:bookmarkStart w:id="18" w:name="_Toc27599"/>
      <w:r>
        <w:rPr>
          <w:rFonts w:hint="eastAsia" w:ascii="宋体" w:hAnsi="宋体" w:eastAsia="宋体"/>
          <w:color w:val="000000" w:themeColor="text1"/>
          <w:sz w:val="24"/>
          <w14:textFill>
            <w14:solidFill>
              <w14:schemeClr w14:val="tx1"/>
            </w14:solidFill>
          </w14:textFill>
        </w:rPr>
        <w:t>适用法律和争议解决</w:t>
      </w:r>
      <w:bookmarkEnd w:id="17"/>
      <w:bookmarkEnd w:id="18"/>
    </w:p>
    <w:p>
      <w:pPr>
        <w:numPr>
          <w:ilvl w:val="1"/>
          <w:numId w:val="15"/>
        </w:numPr>
        <w:spacing w:line="360" w:lineRule="auto"/>
        <w:ind w:left="210" w:left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本合同的订立、效力、解释、履行和争议的解决适用中华人民共和国法律。</w:t>
      </w:r>
    </w:p>
    <w:p>
      <w:pPr>
        <w:numPr>
          <w:ilvl w:val="1"/>
          <w:numId w:val="15"/>
        </w:numPr>
        <w:spacing w:line="360" w:lineRule="auto"/>
        <w:ind w:left="210" w:left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凡有关本合同或执行本合同中发生的争端，双方应通过友好协商，妥善解决。如通过协商仍不能解决时，可向甲方所在地的人民法院进行诉讼。</w:t>
      </w:r>
    </w:p>
    <w:p>
      <w:pPr>
        <w:numPr>
          <w:ilvl w:val="1"/>
          <w:numId w:val="15"/>
        </w:numPr>
        <w:spacing w:line="360" w:lineRule="auto"/>
        <w:ind w:left="210" w:left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在诉讼期间，除正在进行诉讼的部分外，合同其他部分应继续执行，双方继续行使其他部分权利及义务。</w:t>
      </w:r>
    </w:p>
    <w:p>
      <w:pPr>
        <w:numPr>
          <w:ilvl w:val="1"/>
          <w:numId w:val="15"/>
        </w:numPr>
        <w:spacing w:line="360" w:lineRule="auto"/>
        <w:ind w:left="210" w:left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甲方、乙方确认法律文书送达地址为以下地址，人民法院等相关权力机关送达相关诉讼文书适用该地址，若发生变动的，甲乙双方应立即以书面方式通知对方，未通知  的，人民法院等相关权力机关按原地址送达即视为送达：</w:t>
      </w:r>
    </w:p>
    <w:p>
      <w:pPr>
        <w:spacing w:line="360" w:lineRule="auto"/>
        <w:ind w:left="210" w:leftChars="10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甲方：江苏昆山农村商业银行股份有限公司</w:t>
      </w:r>
      <w:r>
        <w:rPr>
          <w:rFonts w:ascii="宋体" w:hAnsi="宋体"/>
          <w:color w:val="000000" w:themeColor="text1"/>
          <w:sz w:val="24"/>
          <w14:textFill>
            <w14:solidFill>
              <w14:schemeClr w14:val="tx1"/>
            </w14:solidFill>
          </w14:textFill>
        </w:rPr>
        <w:t xml:space="preserve">         </w:t>
      </w:r>
    </w:p>
    <w:p>
      <w:pPr>
        <w:spacing w:line="360" w:lineRule="auto"/>
        <w:ind w:left="210" w:leftChars="10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ascii="宋体" w:hAnsi="宋体"/>
          <w:color w:val="000000" w:themeColor="text1"/>
          <w:sz w:val="24"/>
          <w14:textFill>
            <w14:solidFill>
              <w14:schemeClr w14:val="tx1"/>
            </w14:solidFill>
          </w14:textFill>
        </w:rPr>
        <w:t>18963677899</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p>
    <w:p>
      <w:pPr>
        <w:spacing w:line="360" w:lineRule="auto"/>
        <w:ind w:left="210" w:leftChars="10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送达地址：江苏省昆山市前进东路828号</w:t>
      </w:r>
      <w:r>
        <w:rPr>
          <w:rFonts w:ascii="宋体" w:hAnsi="宋体"/>
          <w:color w:val="000000" w:themeColor="text1"/>
          <w:sz w:val="24"/>
          <w14:textFill>
            <w14:solidFill>
              <w14:schemeClr w14:val="tx1"/>
            </w14:solidFill>
          </w14:textFill>
        </w:rPr>
        <w:t xml:space="preserve">                          </w:t>
      </w:r>
    </w:p>
    <w:p>
      <w:pPr>
        <w:spacing w:line="360" w:lineRule="auto"/>
        <w:ind w:left="210" w:left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邮编：</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215300</w:t>
      </w:r>
      <w:r>
        <w:rPr>
          <w:rFonts w:ascii="宋体" w:hAnsi="宋体"/>
          <w:color w:val="000000" w:themeColor="text1"/>
          <w:sz w:val="24"/>
          <w14:textFill>
            <w14:solidFill>
              <w14:schemeClr w14:val="tx1"/>
            </w14:solidFill>
          </w14:textFill>
        </w:rPr>
        <w:t xml:space="preserve">        </w:t>
      </w:r>
    </w:p>
    <w:p>
      <w:pPr>
        <w:spacing w:line="360" w:lineRule="auto"/>
        <w:ind w:left="210" w:leftChars="10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乙方： </w:t>
      </w:r>
    </w:p>
    <w:p>
      <w:pPr>
        <w:spacing w:line="360" w:lineRule="auto"/>
        <w:ind w:left="210" w:leftChars="10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乙方联系人： </w:t>
      </w:r>
    </w:p>
    <w:p>
      <w:pPr>
        <w:spacing w:line="360" w:lineRule="auto"/>
        <w:ind w:left="210" w:leftChars="10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p>
      <w:pPr>
        <w:spacing w:line="360" w:lineRule="auto"/>
        <w:ind w:left="210" w:leftChars="100"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送达地址： </w:t>
      </w:r>
    </w:p>
    <w:p>
      <w:pPr>
        <w:spacing w:line="360" w:lineRule="auto"/>
        <w:ind w:left="210" w:leftChars="100"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邮编：</w:t>
      </w:r>
      <w:r>
        <w:rPr>
          <w:rFonts w:ascii="宋体" w:hAnsi="宋体"/>
          <w:color w:val="000000" w:themeColor="text1"/>
          <w:sz w:val="24"/>
          <w14:textFill>
            <w14:solidFill>
              <w14:schemeClr w14:val="tx1"/>
            </w14:solidFill>
          </w14:textFill>
        </w:rPr>
        <w:t xml:space="preserve">                                      </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w:t>
      </w:r>
      <w:r>
        <w:rPr>
          <w:rFonts w:ascii="宋体" w:hAnsi="宋体"/>
          <w:color w:val="000000" w:themeColor="text1"/>
          <w:sz w:val="24"/>
          <w14:textFill>
            <w14:solidFill>
              <w14:schemeClr w14:val="tx1"/>
            </w14:solidFill>
          </w14:textFill>
        </w:rPr>
        <w:t>盖完电子章</w:t>
      </w:r>
      <w:r>
        <w:rPr>
          <w:rFonts w:hint="eastAsia" w:ascii="宋体" w:hAnsi="宋体"/>
          <w:color w:val="000000" w:themeColor="text1"/>
          <w:sz w:val="24"/>
          <w14:textFill>
            <w14:solidFill>
              <w14:schemeClr w14:val="tx1"/>
            </w14:solidFill>
          </w14:textFill>
        </w:rPr>
        <w:t>PDF版合同</w:t>
      </w:r>
      <w:r>
        <w:rPr>
          <w:rFonts w:ascii="宋体" w:hAnsi="宋体"/>
          <w:color w:val="000000" w:themeColor="text1"/>
          <w:sz w:val="24"/>
          <w14:textFill>
            <w14:solidFill>
              <w14:schemeClr w14:val="tx1"/>
            </w14:solidFill>
          </w14:textFill>
        </w:rPr>
        <w:t>发送乙方邮箱</w:t>
      </w:r>
      <w:r>
        <w:rPr>
          <w:rFonts w:hint="eastAsia" w:ascii="宋体" w:hAnsi="宋体"/>
          <w:color w:val="000000" w:themeColor="text1"/>
          <w:sz w:val="24"/>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p>
    <w:p>
      <w:pPr>
        <w:pStyle w:val="4"/>
        <w:numPr>
          <w:ilvl w:val="0"/>
          <w:numId w:val="6"/>
        </w:numPr>
        <w:spacing w:before="0" w:after="0" w:line="360" w:lineRule="auto"/>
        <w:rPr>
          <w:rFonts w:ascii="宋体" w:hAnsi="宋体" w:eastAsia="宋体"/>
          <w:color w:val="000000" w:themeColor="text1"/>
          <w:sz w:val="24"/>
          <w14:textFill>
            <w14:solidFill>
              <w14:schemeClr w14:val="tx1"/>
            </w14:solidFill>
          </w14:textFill>
        </w:rPr>
      </w:pPr>
      <w:bookmarkStart w:id="19" w:name="_Toc5954"/>
      <w:bookmarkStart w:id="20" w:name="_Toc299547129"/>
      <w:r>
        <w:rPr>
          <w:rFonts w:hint="eastAsia" w:ascii="宋体" w:hAnsi="宋体" w:eastAsia="宋体"/>
          <w:color w:val="000000" w:themeColor="text1"/>
          <w:sz w:val="24"/>
          <w14:textFill>
            <w14:solidFill>
              <w14:schemeClr w14:val="tx1"/>
            </w14:solidFill>
          </w14:textFill>
        </w:rPr>
        <w:t>合同的变更</w:t>
      </w:r>
      <w:bookmarkEnd w:id="19"/>
      <w:bookmarkEnd w:id="20"/>
    </w:p>
    <w:p>
      <w:pPr>
        <w:numPr>
          <w:ilvl w:val="1"/>
          <w:numId w:val="16"/>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对本合同的任何修改、变更，均需双方按本条约定的程序做出方为有效。</w:t>
      </w:r>
    </w:p>
    <w:p>
      <w:pPr>
        <w:numPr>
          <w:ilvl w:val="1"/>
          <w:numId w:val="16"/>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如果一方需变更、修改合同条款的，应提前</w:t>
      </w:r>
      <w:r>
        <w:rPr>
          <w:rFonts w:hint="eastAsia" w:ascii="宋体" w:hAnsi="宋体"/>
          <w:color w:val="000000" w:themeColor="text1"/>
          <w:sz w:val="24"/>
          <w:u w:val="single"/>
          <w14:textFill>
            <w14:solidFill>
              <w14:schemeClr w14:val="tx1"/>
            </w14:solidFill>
          </w14:textFill>
        </w:rPr>
        <w:t>10</w:t>
      </w:r>
      <w:r>
        <w:rPr>
          <w:rFonts w:hint="eastAsia" w:ascii="宋体" w:hAnsi="宋体"/>
          <w:color w:val="000000" w:themeColor="text1"/>
          <w:sz w:val="24"/>
          <w14:textFill>
            <w14:solidFill>
              <w14:schemeClr w14:val="tx1"/>
            </w14:solidFill>
          </w14:textFill>
        </w:rPr>
        <w:t>个工作日书面通知另一方，经双方协商达成一致后，双方签署《合同变更书》。</w:t>
      </w:r>
    </w:p>
    <w:p>
      <w:pPr>
        <w:numPr>
          <w:ilvl w:val="1"/>
          <w:numId w:val="16"/>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如果《合同变更书》条款与本合同条款有冲突，应以《合同变更书》条款为准。</w:t>
      </w:r>
    </w:p>
    <w:p>
      <w:pPr>
        <w:numPr>
          <w:ilvl w:val="1"/>
          <w:numId w:val="16"/>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《合同变更书》在双方授权代理人签字，并加盖公章后生效。</w:t>
      </w:r>
    </w:p>
    <w:p>
      <w:pPr>
        <w:spacing w:line="360" w:lineRule="auto"/>
        <w:rPr>
          <w:rFonts w:ascii="宋体" w:hAnsi="宋体"/>
          <w:color w:val="000000" w:themeColor="text1"/>
          <w:sz w:val="24"/>
          <w14:textFill>
            <w14:solidFill>
              <w14:schemeClr w14:val="tx1"/>
            </w14:solidFill>
          </w14:textFill>
        </w:rPr>
      </w:pPr>
    </w:p>
    <w:p>
      <w:pPr>
        <w:pStyle w:val="4"/>
        <w:numPr>
          <w:ilvl w:val="0"/>
          <w:numId w:val="6"/>
        </w:numPr>
        <w:spacing w:before="0" w:after="0" w:line="360" w:lineRule="auto"/>
        <w:rPr>
          <w:rFonts w:ascii="宋体" w:hAnsi="宋体" w:eastAsia="宋体"/>
          <w:color w:val="000000" w:themeColor="text1"/>
          <w:sz w:val="24"/>
          <w14:textFill>
            <w14:solidFill>
              <w14:schemeClr w14:val="tx1"/>
            </w14:solidFill>
          </w14:textFill>
        </w:rPr>
      </w:pPr>
      <w:bookmarkStart w:id="21" w:name="_Toc5587"/>
      <w:bookmarkStart w:id="22" w:name="_Toc299547130"/>
      <w:r>
        <w:rPr>
          <w:rFonts w:hint="eastAsia" w:ascii="宋体" w:hAnsi="宋体" w:eastAsia="宋体"/>
          <w:color w:val="000000" w:themeColor="text1"/>
          <w:sz w:val="24"/>
          <w14:textFill>
            <w14:solidFill>
              <w14:schemeClr w14:val="tx1"/>
            </w14:solidFill>
          </w14:textFill>
        </w:rPr>
        <w:t>合同生效及其它</w:t>
      </w:r>
      <w:bookmarkEnd w:id="21"/>
      <w:bookmarkEnd w:id="22"/>
      <w:r>
        <w:rPr>
          <w:rFonts w:hint="eastAsia" w:ascii="宋体" w:hAnsi="宋体" w:eastAsia="宋体"/>
          <w:color w:val="000000" w:themeColor="text1"/>
          <w:sz w:val="24"/>
          <w14:textFill>
            <w14:solidFill>
              <w14:schemeClr w14:val="tx1"/>
            </w14:solidFill>
          </w14:textFill>
        </w:rPr>
        <w:t xml:space="preserve"> </w:t>
      </w:r>
    </w:p>
    <w:p>
      <w:pPr>
        <w:numPr>
          <w:ilvl w:val="1"/>
          <w:numId w:val="17"/>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本合同自甲、乙双方法定代表人或授权代理人签字（盖章），并加盖公章之日起生效。</w:t>
      </w:r>
    </w:p>
    <w:p>
      <w:pPr>
        <w:numPr>
          <w:ilvl w:val="1"/>
          <w:numId w:val="17"/>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本合同壹式陆份，以中文书写，甲方执叁份、乙方执叁份，具有同等效力。</w:t>
      </w:r>
    </w:p>
    <w:p>
      <w:pPr>
        <w:numPr>
          <w:ilvl w:val="1"/>
          <w:numId w:val="17"/>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本合同的附件为本合同不可分割的组成部分，并且与本合同正文的条款具有同等效力。</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11.4</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合同寄送地址：江苏省昆山市花桥中城</w:t>
      </w:r>
      <w:r>
        <w:rPr>
          <w:rFonts w:ascii="宋体" w:hAnsi="宋体"/>
          <w:color w:val="000000" w:themeColor="text1"/>
          <w:sz w:val="24"/>
          <w14:textFill>
            <w14:solidFill>
              <w14:schemeClr w14:val="tx1"/>
            </w14:solidFill>
          </w14:textFill>
        </w:rPr>
        <w:t>商务广场</w:t>
      </w:r>
      <w:r>
        <w:rPr>
          <w:rFonts w:hint="eastAsia" w:ascii="宋体" w:hAnsi="宋体"/>
          <w:color w:val="000000" w:themeColor="text1"/>
          <w:sz w:val="24"/>
          <w14:textFill>
            <w14:solidFill>
              <w14:schemeClr w14:val="tx1"/>
            </w14:solidFill>
          </w14:textFill>
        </w:rPr>
        <w:t>3号楼</w:t>
      </w:r>
    </w:p>
    <w:p>
      <w:pPr>
        <w:spacing w:line="360" w:lineRule="auto"/>
        <w:ind w:firstLine="840" w:firstLineChars="3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甲方合同联系人：朱</w:t>
      </w:r>
      <w:r>
        <w:rPr>
          <w:rFonts w:ascii="宋体" w:hAnsi="宋体"/>
          <w:color w:val="000000" w:themeColor="text1"/>
          <w:sz w:val="24"/>
          <w14:textFill>
            <w14:solidFill>
              <w14:schemeClr w14:val="tx1"/>
            </w14:solidFill>
          </w14:textFill>
        </w:rPr>
        <w:t>乐园</w:t>
      </w:r>
    </w:p>
    <w:p>
      <w:pPr>
        <w:spacing w:line="360" w:lineRule="auto"/>
        <w:ind w:left="454"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甲方合同联系电话：0512-5</w:t>
      </w:r>
      <w:r>
        <w:rPr>
          <w:rFonts w:ascii="宋体" w:hAnsi="宋体"/>
          <w:color w:val="000000" w:themeColor="text1"/>
          <w:sz w:val="24"/>
          <w14:textFill>
            <w14:solidFill>
              <w14:schemeClr w14:val="tx1"/>
            </w14:solidFill>
          </w14:textFill>
        </w:rPr>
        <w:t>0329287</w:t>
      </w:r>
    </w:p>
    <w:p>
      <w:pPr>
        <w:spacing w:line="360" w:lineRule="auto"/>
        <w:ind w:left="454"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甲方合同寄送地址：江苏省昆山市花桥中城</w:t>
      </w:r>
      <w:r>
        <w:rPr>
          <w:rFonts w:ascii="宋体" w:hAnsi="宋体"/>
          <w:color w:val="000000" w:themeColor="text1"/>
          <w:sz w:val="24"/>
          <w14:textFill>
            <w14:solidFill>
              <w14:schemeClr w14:val="tx1"/>
            </w14:solidFill>
          </w14:textFill>
        </w:rPr>
        <w:t>商务广场</w:t>
      </w:r>
      <w:r>
        <w:rPr>
          <w:rFonts w:hint="eastAsia" w:ascii="宋体" w:hAnsi="宋体"/>
          <w:color w:val="000000" w:themeColor="text1"/>
          <w:sz w:val="24"/>
          <w14:textFill>
            <w14:solidFill>
              <w14:schemeClr w14:val="tx1"/>
            </w14:solidFill>
          </w14:textFill>
        </w:rPr>
        <w:t>3号楼</w:t>
      </w:r>
    </w:p>
    <w:p>
      <w:pPr>
        <w:spacing w:line="360" w:lineRule="auto"/>
        <w:ind w:left="454"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乙方合同联系人：                      </w:t>
      </w:r>
    </w:p>
    <w:p>
      <w:pPr>
        <w:spacing w:line="360" w:lineRule="auto"/>
        <w:ind w:left="454"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乙方合同联系电话：                    </w:t>
      </w:r>
    </w:p>
    <w:p>
      <w:pPr>
        <w:spacing w:line="360" w:lineRule="auto"/>
        <w:ind w:firstLine="840" w:firstLineChars="3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乙方合同寄送地址：                    </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w:t>
      </w:r>
      <w:r>
        <w:rPr>
          <w:rFonts w:ascii="宋体" w:hAnsi="宋体"/>
          <w:color w:val="000000" w:themeColor="text1"/>
          <w:sz w:val="24"/>
          <w14:textFill>
            <w14:solidFill>
              <w14:schemeClr w14:val="tx1"/>
            </w14:solidFill>
          </w14:textFill>
        </w:rPr>
        <w:t>盖完电子章</w:t>
      </w:r>
      <w:r>
        <w:rPr>
          <w:rFonts w:hint="eastAsia" w:ascii="宋体" w:hAnsi="宋体"/>
          <w:color w:val="000000" w:themeColor="text1"/>
          <w:sz w:val="24"/>
          <w14:textFill>
            <w14:solidFill>
              <w14:schemeClr w14:val="tx1"/>
            </w14:solidFill>
          </w14:textFill>
        </w:rPr>
        <w:t>PDF版合同</w:t>
      </w:r>
      <w:r>
        <w:rPr>
          <w:rFonts w:ascii="宋体" w:hAnsi="宋体"/>
          <w:color w:val="000000" w:themeColor="text1"/>
          <w:sz w:val="24"/>
          <w14:textFill>
            <w14:solidFill>
              <w14:schemeClr w14:val="tx1"/>
            </w14:solidFill>
          </w14:textFill>
        </w:rPr>
        <w:t>发送乙方邮箱</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pStyle w:val="4"/>
        <w:numPr>
          <w:ilvl w:val="0"/>
          <w:numId w:val="6"/>
        </w:numPr>
        <w:spacing w:before="0" w:after="0" w:line="360" w:lineRule="auto"/>
        <w:rPr>
          <w:rFonts w:ascii="宋体" w:hAnsi="宋体" w:eastAsia="宋体"/>
          <w:color w:val="000000" w:themeColor="text1"/>
          <w:sz w:val="24"/>
          <w14:textFill>
            <w14:solidFill>
              <w14:schemeClr w14:val="tx1"/>
            </w14:solidFill>
          </w14:textFill>
        </w:rPr>
      </w:pPr>
      <w:bookmarkStart w:id="23" w:name="_Toc20241"/>
      <w:bookmarkStart w:id="24" w:name="_Toc299547131"/>
      <w:r>
        <w:rPr>
          <w:rFonts w:hint="eastAsia" w:ascii="宋体" w:hAnsi="宋体" w:eastAsia="宋体"/>
          <w:color w:val="000000" w:themeColor="text1"/>
          <w:sz w:val="24"/>
          <w14:textFill>
            <w14:solidFill>
              <w14:schemeClr w14:val="tx1"/>
            </w14:solidFill>
          </w14:textFill>
        </w:rPr>
        <w:t>未尽事宜</w:t>
      </w:r>
      <w:bookmarkEnd w:id="23"/>
      <w:bookmarkEnd w:id="24"/>
    </w:p>
    <w:p>
      <w:pPr>
        <w:numPr>
          <w:ilvl w:val="1"/>
          <w:numId w:val="18"/>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本合同未尽事宜应按《中华人民共和国民法典》之约定解释。</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合同附件：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附件：《保密协议》（需签字盖章确认）</w:t>
      </w: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协议签署：</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甲方：江苏昆山农村商业银行股份有限公司       乙方：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                                  法定代表人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或授权代理人：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或授权代理人：</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日期：202</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年   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                       日期：202</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jc w:val="right"/>
        <w:rPr>
          <w:rFonts w:ascii="宋体" w:hAnsi="宋体"/>
          <w:color w:val="000000" w:themeColor="text1"/>
          <w:sz w:val="24"/>
          <w14:textFill>
            <w14:solidFill>
              <w14:schemeClr w14:val="tx1"/>
            </w14:solidFill>
          </w14:textFill>
        </w:rPr>
      </w:pP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合同签署地：江苏昆山</w:t>
      </w:r>
    </w:p>
    <w:p>
      <w:pPr>
        <w:pStyle w:val="7"/>
        <w:spacing w:line="500" w:lineRule="exact"/>
        <w:rPr>
          <w:rFonts w:hAnsi="宋体"/>
          <w:color w:val="000000" w:themeColor="text1"/>
          <w:sz w:val="24"/>
          <w14:textFill>
            <w14:solidFill>
              <w14:schemeClr w14:val="tx1"/>
            </w14:solidFill>
          </w14:textFill>
        </w:rPr>
      </w:pPr>
    </w:p>
    <w:p>
      <w:pPr>
        <w:pStyle w:val="7"/>
        <w:spacing w:line="500" w:lineRule="exact"/>
        <w:rPr>
          <w:rFonts w:hAnsi="宋体"/>
          <w:color w:val="000000" w:themeColor="text1"/>
          <w:sz w:val="24"/>
          <w14:textFill>
            <w14:solidFill>
              <w14:schemeClr w14:val="tx1"/>
            </w14:solidFill>
          </w14:textFill>
        </w:rPr>
      </w:pPr>
    </w:p>
    <w:p>
      <w:pPr>
        <w:pStyle w:val="7"/>
        <w:spacing w:line="500" w:lineRule="exact"/>
        <w:rPr>
          <w:rFonts w:hAnsi="宋体"/>
          <w:color w:val="000000" w:themeColor="text1"/>
          <w:sz w:val="24"/>
          <w14:textFill>
            <w14:solidFill>
              <w14:schemeClr w14:val="tx1"/>
            </w14:solidFill>
          </w14:textFill>
        </w:rPr>
      </w:pPr>
    </w:p>
    <w:p>
      <w:pPr>
        <w:pStyle w:val="7"/>
        <w:spacing w:line="500" w:lineRule="exact"/>
        <w:rPr>
          <w:rFonts w:hAnsi="宋体"/>
          <w:color w:val="000000" w:themeColor="text1"/>
          <w:sz w:val="24"/>
          <w14:textFill>
            <w14:solidFill>
              <w14:schemeClr w14:val="tx1"/>
            </w14:solidFill>
          </w14:textFill>
        </w:rPr>
      </w:pPr>
    </w:p>
    <w:p>
      <w:pPr>
        <w:pStyle w:val="7"/>
        <w:spacing w:line="500" w:lineRule="exact"/>
        <w:rPr>
          <w:rFonts w:hAnsi="宋体"/>
          <w:color w:val="000000" w:themeColor="text1"/>
          <w:sz w:val="24"/>
          <w14:textFill>
            <w14:solidFill>
              <w14:schemeClr w14:val="tx1"/>
            </w14:solidFill>
          </w14:textFill>
        </w:rPr>
      </w:pPr>
    </w:p>
    <w:p>
      <w:pPr>
        <w:pStyle w:val="7"/>
        <w:spacing w:line="500" w:lineRule="exact"/>
        <w:rPr>
          <w:rFonts w:hAnsi="宋体"/>
          <w:color w:val="000000" w:themeColor="text1"/>
          <w:sz w:val="24"/>
          <w14:textFill>
            <w14:solidFill>
              <w14:schemeClr w14:val="tx1"/>
            </w14:solidFill>
          </w14:textFill>
        </w:rPr>
      </w:pPr>
    </w:p>
    <w:p>
      <w:pPr>
        <w:pStyle w:val="7"/>
        <w:spacing w:line="500" w:lineRule="exact"/>
        <w:rPr>
          <w:rFonts w:hAnsi="宋体"/>
          <w:color w:val="000000" w:themeColor="text1"/>
          <w:sz w:val="24"/>
          <w14:textFill>
            <w14:solidFill>
              <w14:schemeClr w14:val="tx1"/>
            </w14:solidFill>
          </w14:textFill>
        </w:rPr>
      </w:pPr>
    </w:p>
    <w:p>
      <w:pPr>
        <w:pStyle w:val="7"/>
        <w:spacing w:line="500" w:lineRule="exact"/>
        <w:rPr>
          <w:rFonts w:hAnsi="宋体"/>
          <w:color w:val="000000" w:themeColor="text1"/>
          <w:sz w:val="24"/>
          <w14:textFill>
            <w14:solidFill>
              <w14:schemeClr w14:val="tx1"/>
            </w14:solidFill>
          </w14:textFill>
        </w:rPr>
      </w:pPr>
    </w:p>
    <w:p>
      <w:pPr>
        <w:pStyle w:val="7"/>
        <w:spacing w:line="500" w:lineRule="exact"/>
        <w:rPr>
          <w:rFonts w:hAnsi="宋体"/>
          <w:color w:val="000000" w:themeColor="text1"/>
          <w:sz w:val="24"/>
          <w14:textFill>
            <w14:solidFill>
              <w14:schemeClr w14:val="tx1"/>
            </w14:solidFill>
          </w14:textFill>
        </w:rPr>
      </w:pPr>
    </w:p>
    <w:p>
      <w:pPr>
        <w:pStyle w:val="7"/>
        <w:spacing w:line="500" w:lineRule="exact"/>
        <w:rPr>
          <w:rFonts w:hAnsi="宋体"/>
          <w:color w:val="000000" w:themeColor="text1"/>
          <w:sz w:val="24"/>
          <w14:textFill>
            <w14:solidFill>
              <w14:schemeClr w14:val="tx1"/>
            </w14:solidFill>
          </w14:textFill>
        </w:rPr>
      </w:pPr>
    </w:p>
    <w:p>
      <w:pPr>
        <w:pStyle w:val="7"/>
        <w:spacing w:line="500" w:lineRule="exact"/>
        <w:rPr>
          <w:rFonts w:hAnsi="宋体"/>
          <w:color w:val="000000" w:themeColor="text1"/>
          <w:sz w:val="24"/>
          <w14:textFill>
            <w14:solidFill>
              <w14:schemeClr w14:val="tx1"/>
            </w14:solidFill>
          </w14:textFill>
        </w:rPr>
      </w:pPr>
    </w:p>
    <w:p>
      <w:pPr>
        <w:pStyle w:val="7"/>
        <w:spacing w:line="500" w:lineRule="exact"/>
        <w:rPr>
          <w:rFonts w:hAnsi="宋体"/>
          <w:color w:val="000000" w:themeColor="text1"/>
          <w:sz w:val="24"/>
          <w14:textFill>
            <w14:solidFill>
              <w14:schemeClr w14:val="tx1"/>
            </w14:solidFill>
          </w14:textFill>
        </w:rPr>
      </w:pPr>
    </w:p>
    <w:p>
      <w:pPr>
        <w:pStyle w:val="7"/>
        <w:spacing w:line="500" w:lineRule="exact"/>
        <w:rPr>
          <w:rFonts w:hAnsi="宋体"/>
          <w:color w:val="000000" w:themeColor="text1"/>
          <w:sz w:val="24"/>
          <w14:textFill>
            <w14:solidFill>
              <w14:schemeClr w14:val="tx1"/>
            </w14:solidFill>
          </w14:textFill>
        </w:rPr>
      </w:pPr>
    </w:p>
    <w:p>
      <w:pPr>
        <w:pStyle w:val="7"/>
        <w:spacing w:line="500" w:lineRule="exact"/>
        <w:rPr>
          <w:rFonts w:hAnsi="宋体"/>
          <w:color w:val="000000" w:themeColor="text1"/>
          <w:sz w:val="24"/>
          <w14:textFill>
            <w14:solidFill>
              <w14:schemeClr w14:val="tx1"/>
            </w14:solidFill>
          </w14:textFill>
        </w:rPr>
      </w:pPr>
    </w:p>
    <w:p>
      <w:pPr>
        <w:pStyle w:val="7"/>
        <w:spacing w:line="500" w:lineRule="exact"/>
        <w:rPr>
          <w:rFonts w:hAnsi="宋体"/>
          <w:color w:val="000000" w:themeColor="text1"/>
          <w:sz w:val="24"/>
          <w14:textFill>
            <w14:solidFill>
              <w14:schemeClr w14:val="tx1"/>
            </w14:solidFill>
          </w14:textFill>
        </w:rPr>
      </w:pPr>
    </w:p>
    <w:p>
      <w:pPr>
        <w:pStyle w:val="7"/>
        <w:spacing w:line="500" w:lineRule="exact"/>
        <w:rPr>
          <w:rFonts w:hAnsi="宋体"/>
          <w:color w:val="000000" w:themeColor="text1"/>
          <w:sz w:val="24"/>
          <w14:textFill>
            <w14:solidFill>
              <w14:schemeClr w14:val="tx1"/>
            </w14:solidFill>
          </w14:textFill>
        </w:rPr>
      </w:pP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附件：《保密协议》</w:t>
      </w:r>
    </w:p>
    <w:p>
      <w:pPr>
        <w:pStyle w:val="7"/>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保密协议</w:t>
      </w: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甲方：江苏昆山农村商业银行股份有限公司</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r>
        <w:rPr>
          <w:rFonts w:hint="eastAsia"/>
          <w:color w:val="000000" w:themeColor="text1"/>
          <w:lang w:val="zh-CN"/>
          <w14:textFill>
            <w14:solidFill>
              <w14:schemeClr w14:val="tx1"/>
            </w14:solidFill>
          </w14:textFill>
        </w:rPr>
        <w:t>江苏省昆山市前进</w:t>
      </w:r>
      <w:r>
        <w:rPr>
          <w:rFonts w:hint="eastAsia"/>
          <w:color w:val="000000" w:themeColor="text1"/>
          <w14:textFill>
            <w14:solidFill>
              <w14:schemeClr w14:val="tx1"/>
            </w14:solidFill>
          </w14:textFill>
        </w:rPr>
        <w:t>东</w:t>
      </w:r>
      <w:r>
        <w:rPr>
          <w:rFonts w:hint="eastAsia"/>
          <w:color w:val="000000" w:themeColor="text1"/>
          <w:lang w:val="zh-CN"/>
          <w14:textFill>
            <w14:solidFill>
              <w14:schemeClr w14:val="tx1"/>
            </w14:solidFill>
          </w14:textFill>
        </w:rPr>
        <w:t>路</w:t>
      </w:r>
      <w:r>
        <w:rPr>
          <w:rFonts w:hint="eastAsia"/>
          <w:color w:val="000000" w:themeColor="text1"/>
          <w14:textFill>
            <w14:solidFill>
              <w14:schemeClr w14:val="tx1"/>
            </w14:solidFill>
          </w14:textFill>
        </w:rPr>
        <w:t>828</w:t>
      </w:r>
      <w:r>
        <w:rPr>
          <w:rFonts w:hint="eastAsia"/>
          <w:color w:val="000000" w:themeColor="text1"/>
          <w:lang w:val="zh-CN"/>
          <w14:textFill>
            <w14:solidFill>
              <w14:schemeClr w14:val="tx1"/>
            </w14:solidFill>
          </w14:textFill>
        </w:rPr>
        <w:t>号</w:t>
      </w:r>
      <w:r>
        <w:rPr>
          <w:rFonts w:hint="eastAsia"/>
          <w:color w:val="000000" w:themeColor="text1"/>
          <w14:textFill>
            <w14:solidFill>
              <w14:schemeClr w14:val="tx1"/>
            </w14:solidFill>
          </w14:textFill>
        </w:rPr>
        <w:t xml:space="preserve"> </w:t>
      </w:r>
    </w:p>
    <w:p>
      <w:pPr>
        <w:pStyle w:val="7"/>
        <w:rPr>
          <w:color w:val="000000" w:themeColor="text1"/>
          <w14:textFill>
            <w14:solidFill>
              <w14:schemeClr w14:val="tx1"/>
            </w14:solidFill>
          </w14:textFill>
        </w:rPr>
      </w:pP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乙方： </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地址： </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鉴于甲、乙双方在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软件</w:t>
      </w:r>
      <w:r>
        <w:rPr>
          <w:color w:val="000000" w:themeColor="text1"/>
          <w14:textFill>
            <w14:solidFill>
              <w14:schemeClr w14:val="tx1"/>
            </w14:solidFill>
          </w14:textFill>
        </w:rPr>
        <w:t>及服务</w:t>
      </w:r>
      <w:r>
        <w:rPr>
          <w:rFonts w:hint="eastAsia"/>
          <w:color w:val="000000" w:themeColor="text1"/>
          <w14:textFill>
            <w14:solidFill>
              <w14:schemeClr w14:val="tx1"/>
            </w14:solidFill>
          </w14:textFill>
        </w:rPr>
        <w:t>项目过程中需披露和接受秘密信息（“秘密信息”），并且双方将在从事各自商业活动的同时妥善保护双方的秘密信息，为了明确甲乙双方就一方（“披露方”）向另一方（“接受方”）披露的秘密信息所应承担的保密义务，甲乙双方本着平等自愿、公平诚信的原则，特订立本保密协议。</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第一条 定义</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本协议所称秘密信息包括：任何注明“秘密”、“机密”或“商业秘密”字样的信息，包括会议记要、人员信息、技术知识、调查、报告、解释、预测、设计构思和规划、发展研讨、说明书、设计图、图表、范例、项目进度、网络拓扑结构、设备资料、价格资料、技术参数和信息、客户和供应商资料和信息、内部决策、商业信息，以及以任何方式反映出来的有关披露方及其所属分支机构不向公众公开的信息和资料。</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若披露方所提供的秘密信息未注明“秘密”、“机密”或“商业秘密”，或披露方是以口头方式提供，则披露方须在披露时明确说明所提供的信息是秘密信息并于事后提供书面摘要。其中甲方计算机系统内的所有系统配置、技术参数和业务数据信息等不能注明“秘密”、“机密”或“商业秘密”字样的，同样属于秘密信息。</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甲方的机构设置和运行机制、业务流程、逻辑流程、规章制度，应用系统的功能、交易量、交易特征，计算机系统或应用系统的漏洞信息，系统的应急方案，与其他公司的合作信息、合同，以及基于委托开发技术服务合同所开发出来的成果等属于秘密信息。</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4.本协议未能涵盖的其他甲方机密。</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第二条　保密义务</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对第一条所称的秘密信息，接受方同意并保证承担以下保密义务：</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接受方应对从披露方获取的所有秘密信息采取严格的保密措施，确保秘密信息不因接受方的原因而被泄露，该等保密措施应至少与接受方对其自身拥有的秘密信息所采取的保密措施相同。未经披露方同意，接受方不得将此类信息披露给任何第三方。</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未经甲方书面同意，乙方不得以任何形式、任何理由宣传、使用第一条约定的秘密信息。</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接受方仅可为披露秘密信息的目的，或为披露方的利益使用第一条所述秘密信息。</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接受方应确保仅向为披露方披露其秘密信息之目的而需要知道的接受方公司员工或其关联公司员工在必要的范围内披露秘密信息。披露方可视情况要求接收方相关人员签订保密协议，以要求该方按本协议的规定对披露的保密信息保密。接受方公司员工或其关联公司员工违反保密义务的，无论该行为是员工在任期间发生的还是离职后发生的，均视同接受方违约，接受方应按本协议第五条的约定承担违约责任。</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在完成服务后，接受方应立即归还或以不可恢复方式销毁或删除自披露方取得的任何记载秘密信息的书面或其他形式的材料，除非另有合同约定。</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如果因接受方的披露而出现披露方的秘密信息被泄露或使用，接受方应当尽一切合理努力采取有效措施防止泄密进一步扩大，并立即向披露方报告。</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第三条　免责条款</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接受方根据由具有管辖权的法院或由一个行政机关发出命令、规定或有关法律、法规的要求以及因审计要向审计机关提供相关信息的，接受方可以根据相应要求予以披露。</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2.接受方对下述信息不承担保密义务：</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1)非因接受方或其员工的泄露已经进入公共领域的信息；</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2)接受方在收到此秘密信息前已经拥有或未利用披露方任何条件的情况下独自开发的信息；</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3)接受方从合法持有并有权披露的第三方获取的信息资料；</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4)对于已体现在双方项目合作成果中的秘密信息，甲方无需承担保密义务。</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第四条　保密期限</w:t>
      </w:r>
    </w:p>
    <w:p>
      <w:pPr>
        <w:pStyle w:val="7"/>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接受方应承担保密义务，直至披露方宣布解密或者秘密信息实际上已经公开。如有关合同中对保密期限另有约定，以合同中约定的保密期限为准，本协议终止时，该合同项下保密相关事宜仍按本协议的约定执行。本协议终止后</w:t>
      </w:r>
      <w:r>
        <w:rPr>
          <w:color w:val="000000" w:themeColor="text1"/>
          <w:lang w:val="zh-CN"/>
          <w14:textFill>
            <w14:solidFill>
              <w14:schemeClr w14:val="tx1"/>
            </w14:solidFill>
          </w14:textFill>
        </w:rPr>
        <w:t>20</w:t>
      </w:r>
      <w:r>
        <w:rPr>
          <w:rFonts w:hint="eastAsia"/>
          <w:color w:val="000000" w:themeColor="text1"/>
          <w:lang w:val="zh-CN"/>
          <w14:textFill>
            <w14:solidFill>
              <w14:schemeClr w14:val="tx1"/>
            </w14:solidFill>
          </w14:textFill>
        </w:rPr>
        <w:t>年内，该合同项下保密相关事宜仍按本协议的约定执行。</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第五条　违约责任</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如果接受方在保密期限内未履行本协议所规定的保密义务，披露方有权根据法律规定追究接受方的违约责任。</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违约方承担违反此协议所造成的经济损失。违约方违反本协议，给对方造成的损失额以下面两种方法计算的较高者为准。（1）以对方因被侵害而受到的实际损失作为赔偿额。（2）以违约方因违约所获得的全部受益作为赔偿额，包括违约方将商业秘密和技术秘密泄漏给第三方，第三方因此而得到的受益。</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因违约方的行为造成对方的商业秘密和技术秘密完全公开的，应由违约方赔偿该商业秘密和技术秘密的全部价值。</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乙方违反第二条第一款第二项约定的，甲方有权视情节严重程度要求乙方承担一定数额的赔偿金额。</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违约方应当承担对方因调查及处理侵害行为所支出的合理费用。</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如果违约方支付的赔偿金额不足以补偿对方因违约方违反本协议而遭受的其他损失，违约方应当继续承担赔偿责任。</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第六条　法律适用与争议解决</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1．本协议适用中华人民共和国法律。任何因执行本协议而发生的纠纷，可以由双方协商解决，协商不成的，任何一方都有权向甲方所在地有管辖权的人民法院提起诉讼。</w:t>
      </w:r>
    </w:p>
    <w:p>
      <w:pPr>
        <w:pStyle w:val="7"/>
        <w:spacing w:line="500" w:lineRule="exact"/>
        <w:ind w:firstLine="525" w:firstLineChars="250"/>
        <w:rPr>
          <w:color w:val="000000" w:themeColor="text1"/>
          <w14:textFill>
            <w14:solidFill>
              <w14:schemeClr w14:val="tx1"/>
            </w14:solidFill>
          </w14:textFill>
        </w:rPr>
      </w:pPr>
      <w:r>
        <w:rPr>
          <w:rFonts w:hint="eastAsia"/>
          <w:color w:val="000000" w:themeColor="text1"/>
          <w14:textFill>
            <w14:solidFill>
              <w14:schemeClr w14:val="tx1"/>
            </w14:solidFill>
          </w14:textFill>
        </w:rPr>
        <w:t>2. 甲方、乙方确认法律文书送达地址为以下地址，人民法院等相关权力机关送达相关诉讼文书适用该地址，若发生变动的，甲乙双方应立即以书面方式通知对方，未通知的，人民法院等相关权力机关按原地址送达即视为送达：</w:t>
      </w:r>
    </w:p>
    <w:p>
      <w:pPr>
        <w:pStyle w:val="7"/>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甲方：江苏昆山农村商业银行股份有限公司</w:t>
      </w:r>
      <w:r>
        <w:rPr>
          <w:color w:val="000000" w:themeColor="text1"/>
          <w14:textFill>
            <w14:solidFill>
              <w14:schemeClr w14:val="tx1"/>
            </w14:solidFill>
          </w14:textFill>
        </w:rPr>
        <w:t xml:space="preserve">         </w:t>
      </w:r>
    </w:p>
    <w:p>
      <w:pPr>
        <w:pStyle w:val="7"/>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联系电话：0512-57336861 </w:t>
      </w:r>
      <w:r>
        <w:rPr>
          <w:color w:val="000000" w:themeColor="text1"/>
          <w14:textFill>
            <w14:solidFill>
              <w14:schemeClr w14:val="tx1"/>
            </w14:solidFill>
          </w14:textFill>
        </w:rPr>
        <w:t xml:space="preserve">               </w:t>
      </w:r>
    </w:p>
    <w:p>
      <w:pPr>
        <w:pStyle w:val="7"/>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送达地址：</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江苏省昆山市前进东路828号</w:t>
      </w:r>
      <w:r>
        <w:rPr>
          <w:color w:val="000000" w:themeColor="text1"/>
          <w14:textFill>
            <w14:solidFill>
              <w14:schemeClr w14:val="tx1"/>
            </w14:solidFill>
          </w14:textFill>
        </w:rPr>
        <w:t xml:space="preserve">                          </w:t>
      </w:r>
    </w:p>
    <w:p>
      <w:pPr>
        <w:pStyle w:val="7"/>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邮编：</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215300</w:t>
      </w:r>
      <w:r>
        <w:rPr>
          <w:color w:val="000000" w:themeColor="text1"/>
          <w14:textFill>
            <w14:solidFill>
              <w14:schemeClr w14:val="tx1"/>
            </w14:solidFill>
          </w14:textFill>
        </w:rPr>
        <w:t xml:space="preserve">        </w:t>
      </w:r>
    </w:p>
    <w:p>
      <w:pPr>
        <w:pStyle w:val="7"/>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pStyle w:val="7"/>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联系电话：</w:t>
      </w:r>
      <w:r>
        <w:rPr>
          <w:color w:val="000000" w:themeColor="text1"/>
          <w14:textFill>
            <w14:solidFill>
              <w14:schemeClr w14:val="tx1"/>
            </w14:solidFill>
          </w14:textFill>
        </w:rPr>
        <w:t xml:space="preserve">       </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送达地址： </w:t>
      </w:r>
    </w:p>
    <w:p>
      <w:pPr>
        <w:pStyle w:val="7"/>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邮编：</w:t>
      </w:r>
      <w:r>
        <w:rPr>
          <w:color w:val="000000" w:themeColor="text1"/>
          <w14:textFill>
            <w14:solidFill>
              <w14:schemeClr w14:val="tx1"/>
            </w14:solidFill>
          </w14:textFill>
        </w:rPr>
        <w:t xml:space="preserve">                                       </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第七条　协议的效力、变更和终止</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1.本协议自双方法定代表人或授权代理人签字或盖章并加盖公章之日起生效。对本协议的任何修改须经双方书面签署方为有效。本协议适用于甲乙双方交流与合作项下全部业务，无论双方是否就具体业务另行签署合同。本协议条款亦适用于继承人和受让人。</w:t>
      </w:r>
    </w:p>
    <w:p>
      <w:pPr>
        <w:pStyle w:val="7"/>
        <w:spacing w:line="360" w:lineRule="auto"/>
        <w:ind w:left="454" w:firstLine="105" w:firstLineChars="50"/>
        <w:rPr>
          <w:color w:val="000000" w:themeColor="text1"/>
          <w14:textFill>
            <w14:solidFill>
              <w14:schemeClr w14:val="tx1"/>
            </w14:solidFill>
          </w14:textFill>
        </w:rPr>
      </w:pPr>
      <w:r>
        <w:rPr>
          <w:rFonts w:hint="eastAsia"/>
          <w:color w:val="000000" w:themeColor="text1"/>
          <w14:textFill>
            <w14:solidFill>
              <w14:schemeClr w14:val="tx1"/>
            </w14:solidFill>
          </w14:textFill>
        </w:rPr>
        <w:t>2.本合同一式陆份，以中文书写，甲方执叁份、乙方执叁份，具有同等效力。</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第八条　披露方声明</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披露方对所披露的信息不附带任何种类的保证；</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披露方对于因其提供的秘密信息而给接受方或任何第三方造成的任何损害不承担赔偿责任；</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本协议任何条款或披露方依本协议规定提供任何秘密信息均不构成披露方对接受方就其所拥有或将来拥有的任何商标、专利或版权等权利的授予。</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第九条　其他约定</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本协议是有关协议双方披露/接受本协议规定的秘密信息的完整的、唯一的协议，并将取代双方此前所有口头或书面交换的意见。</w:t>
      </w:r>
    </w:p>
    <w:p>
      <w:pPr>
        <w:pStyle w:val="7"/>
        <w:widowControl/>
        <w:jc w:val="left"/>
        <w:rPr>
          <w:color w:val="000000" w:themeColor="text1"/>
          <w14:textFill>
            <w14:solidFill>
              <w14:schemeClr w14:val="tx1"/>
            </w14:solidFill>
          </w14:textFill>
        </w:rPr>
      </w:pPr>
    </w:p>
    <w:p>
      <w:pPr>
        <w:pStyle w:val="7"/>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甲方：江苏昆山农村商业银行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乙方： </w:t>
      </w:r>
      <w:r>
        <w:rPr>
          <w:color w:val="000000" w:themeColor="text1"/>
          <w14:textFill>
            <w14:solidFill>
              <w14:schemeClr w14:val="tx1"/>
            </w14:solidFill>
          </w14:textFill>
        </w:rPr>
        <w:t xml:space="preserve">                </w:t>
      </w:r>
    </w:p>
    <w:p>
      <w:pPr>
        <w:pStyle w:val="7"/>
        <w:widowControl/>
        <w:ind w:firstLine="840" w:firstLineChars="4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股份有限公司</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（公章）                            </w:t>
      </w:r>
      <w:r>
        <w:rPr>
          <w:rFonts w:hint="eastAsia"/>
          <w:color w:val="000000" w:themeColor="text1"/>
          <w14:textFill>
            <w14:solidFill>
              <w14:schemeClr w14:val="tx1"/>
            </w14:solidFill>
          </w14:textFill>
        </w:rPr>
        <w:tab/>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（公章）</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法定代表人或授权代理人：</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法定代表人或授权代理人： </w:t>
      </w:r>
    </w:p>
    <w:p>
      <w:pPr>
        <w:pStyle w:val="7"/>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日</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日</w:t>
      </w:r>
    </w:p>
    <w:p>
      <w:pPr>
        <w:snapToGrid w:val="0"/>
        <w:spacing w:line="52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2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2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2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2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2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2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2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2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2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2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2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2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2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2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20" w:lineRule="exact"/>
        <w:outlineLvl w:val="1"/>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附件6：《供应商反腐败/反贿赂承诺书》</w:t>
      </w:r>
    </w:p>
    <w:p>
      <w:pPr>
        <w:spacing w:line="520" w:lineRule="exact"/>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供应商反腐败/反贿赂承诺书</w:t>
      </w:r>
    </w:p>
    <w:p>
      <w:pPr>
        <w:spacing w:line="52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江苏昆山农村商业银行股份有限公司：</w:t>
      </w:r>
    </w:p>
    <w:p>
      <w:pPr>
        <w:spacing w:line="52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本公司自愿与贵行合作，互惠共赢，确保采购招投标活动的规范与廉洁，从源头上预防和遏制违法违纪问题的发生，特作以下承诺：</w:t>
      </w:r>
    </w:p>
    <w:p>
      <w:pPr>
        <w:spacing w:line="52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1、在业务往来中，严格遵守国家有关的法律法规和廉洁从业规定，坚持公平、公开、公正、诚实信用的原则，决不损害国家和企业利益。</w:t>
      </w:r>
    </w:p>
    <w:p>
      <w:pPr>
        <w:spacing w:line="52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2、本公司（含公司工作人员，下同）决不向贵行工作人员（含工作人员的配偶、子女及亲属，下同）馈赠礼品（包括但不限于现金、有价证券、支付凭证及贵重物品等）。</w:t>
      </w:r>
    </w:p>
    <w:p>
      <w:pPr>
        <w:spacing w:line="52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3、本公司决不向贵行工作人员提供宴请、联谊活动、度假、旅游，以及到营业性娱乐场所消费。</w:t>
      </w:r>
    </w:p>
    <w:p>
      <w:pPr>
        <w:spacing w:line="52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4、本公司决不为贵行工作人员安排工作，以及支付应由其个人自付的各种费用。</w:t>
      </w:r>
    </w:p>
    <w:p>
      <w:pPr>
        <w:spacing w:line="52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5、若本公司发现贵行工作人员有违反本承诺书行为倾向的，应及时提醒纠正并向贵行监督管理部门举报。</w:t>
      </w:r>
    </w:p>
    <w:p>
      <w:pPr>
        <w:spacing w:line="52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6、如发现本公司违反承诺，经贵行监督管理部门认定违规事实后，按照下列规定进行处罚。</w:t>
      </w:r>
    </w:p>
    <w:p>
      <w:pPr>
        <w:spacing w:line="52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（1）同意按照合作项目合同总金额的5%支付违约金。</w:t>
      </w:r>
    </w:p>
    <w:p>
      <w:pPr>
        <w:spacing w:line="52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（2）同意贵行解除相关合同，由此造成贵行的损失概由本公司完全承担并赔偿。</w:t>
      </w:r>
    </w:p>
    <w:p>
      <w:pPr>
        <w:spacing w:line="52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（3）承担由此产生的全部法律责任。</w:t>
      </w:r>
    </w:p>
    <w:p>
      <w:pPr>
        <w:spacing w:line="520" w:lineRule="exact"/>
        <w:ind w:firstLine="600"/>
        <w:rPr>
          <w:rFonts w:ascii="仿宋_GB2312" w:hAnsi="宋体" w:eastAsia="仿宋_GB2312"/>
          <w:color w:val="000000" w:themeColor="text1"/>
          <w:sz w:val="28"/>
          <w:szCs w:val="28"/>
          <w14:textFill>
            <w14:solidFill>
              <w14:schemeClr w14:val="tx1"/>
            </w14:solidFill>
          </w14:textFill>
        </w:rPr>
      </w:pPr>
    </w:p>
    <w:p>
      <w:pPr>
        <w:spacing w:line="520" w:lineRule="exact"/>
        <w:ind w:firstLine="600"/>
        <w:jc w:val="righ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（公司加盖公章）</w:t>
      </w:r>
    </w:p>
    <w:p>
      <w:pPr>
        <w:spacing w:line="520" w:lineRule="exact"/>
        <w:ind w:firstLine="600"/>
        <w:jc w:val="righ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法定代表人/有权签署人（签名或盖章）：           </w:t>
      </w:r>
    </w:p>
    <w:p>
      <w:pPr>
        <w:spacing w:line="520" w:lineRule="exact"/>
        <w:ind w:right="420" w:firstLine="7280" w:firstLineChars="2600"/>
        <w:rPr>
          <w:color w:val="000000" w:themeColor="text1"/>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日期：</w:t>
      </w:r>
    </w:p>
    <w:sectPr>
      <w:pgSz w:w="11906" w:h="16838"/>
      <w:pgMar w:top="1304" w:right="1797" w:bottom="130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00002FF" w:usb1="4000ACFF" w:usb2="00000001" w:usb3="00000000" w:csb0="200001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AFF" w:usb1="C0007843" w:usb2="00000009" w:usb3="00000000" w:csb0="400001FF" w:csb1="FFFF0000"/>
  </w:font>
  <w:font w:name="FZXiaoBiaoSong-B05S">
    <w:panose1 w:val="02010601030101010101"/>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汉仪中等线KW">
    <w:panose1 w:val="01010104010101010101"/>
    <w:charset w:val="86"/>
    <w:family w:val="auto"/>
    <w:pitch w:val="default"/>
    <w:sig w:usb0="800002BF" w:usb1="004F7CFA" w:usb2="00000000" w:usb3="00000000" w:csb0="00040001" w:csb1="00000000"/>
  </w:font>
  <w:font w:name="@仿宋">
    <w:panose1 w:val="02010600030101010101"/>
    <w:charset w:val="86"/>
    <w:family w:val="auto"/>
    <w:pitch w:val="fixed"/>
    <w:sig w:usb0="00000003" w:usb1="080E0000" w:usb2="00000000" w:usb3="00000000" w:csb0="00040001" w:csb1="00000000"/>
  </w:font>
  <w:font w:name="@宋体">
    <w:panose1 w:val="02010600030101010101"/>
    <w:charset w:val="86"/>
    <w:family w:val="auto"/>
    <w:pitch w:val="variable"/>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条"/>
      <w:lvlJc w:val="left"/>
      <w:pPr>
        <w:tabs>
          <w:tab w:val="left" w:pos="720"/>
        </w:tabs>
        <w:ind w:left="720" w:hanging="720"/>
      </w:pPr>
      <w:rPr>
        <w:rFonts w:hint="default"/>
        <w:lang w:val="en-US"/>
      </w:rPr>
    </w:lvl>
    <w:lvl w:ilvl="1" w:tentative="0">
      <w:start w:val="15"/>
      <w:numFmt w:val="decimal"/>
      <w:lvlText w:val="%2．"/>
      <w:lvlJc w:val="left"/>
      <w:pPr>
        <w:tabs>
          <w:tab w:val="left" w:pos="855"/>
        </w:tabs>
        <w:ind w:left="855" w:hanging="435"/>
      </w:pPr>
      <w:rPr>
        <w:rFonts w:hint="default"/>
      </w:rPr>
    </w:lvl>
    <w:lvl w:ilvl="2" w:tentative="0">
      <w:start w:val="1"/>
      <w:numFmt w:val="decimal"/>
      <w:lvlText w:val="%3)"/>
      <w:lvlJc w:val="left"/>
      <w:pPr>
        <w:tabs>
          <w:tab w:val="left" w:pos="907"/>
        </w:tabs>
        <w:ind w:left="907" w:hanging="547"/>
      </w:pPr>
      <w:rPr>
        <w:rFonts w:hint="default"/>
        <w:lang w:val="en-US"/>
      </w:rPr>
    </w:lvl>
    <w:lvl w:ilvl="3" w:tentative="0">
      <w:start w:val="1"/>
      <w:numFmt w:val="decimal"/>
      <w:lvlText w:val="%4、"/>
      <w:lvlJc w:val="left"/>
      <w:pPr>
        <w:tabs>
          <w:tab w:val="left" w:pos="360"/>
        </w:tabs>
        <w:ind w:left="360" w:hanging="360"/>
      </w:pPr>
      <w:rPr>
        <w:rFonts w:hint="default"/>
      </w:rPr>
    </w:lvl>
    <w:lvl w:ilvl="4" w:tentative="0">
      <w:start w:val="1"/>
      <w:numFmt w:val="japaneseCounting"/>
      <w:lvlText w:val="%5、"/>
      <w:lvlJc w:val="left"/>
      <w:pPr>
        <w:tabs>
          <w:tab w:val="left" w:pos="480"/>
        </w:tabs>
        <w:ind w:left="480" w:hanging="48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lvlText w:val="%1"/>
      <w:lvlJc w:val="left"/>
      <w:pPr>
        <w:tabs>
          <w:tab w:val="left" w:pos="555"/>
        </w:tabs>
        <w:ind w:left="555" w:hanging="555"/>
      </w:pPr>
      <w:rPr>
        <w:rFonts w:hint="default"/>
      </w:rPr>
    </w:lvl>
    <w:lvl w:ilvl="1" w:tentative="0">
      <w:start w:val="1"/>
      <w:numFmt w:val="decimal"/>
      <w:lvlText w:val="9.%2"/>
      <w:lvlJc w:val="left"/>
      <w:pPr>
        <w:tabs>
          <w:tab w:val="left" w:pos="454"/>
        </w:tabs>
        <w:ind w:left="454" w:hanging="454"/>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00000004"/>
    <w:multiLevelType w:val="multilevel"/>
    <w:tmpl w:val="00000004"/>
    <w:lvl w:ilvl="0" w:tentative="0">
      <w:start w:val="1"/>
      <w:numFmt w:val="decimal"/>
      <w:lvlText w:val="%1"/>
      <w:lvlJc w:val="left"/>
      <w:pPr>
        <w:tabs>
          <w:tab w:val="left" w:pos="555"/>
        </w:tabs>
        <w:ind w:left="555" w:hanging="555"/>
      </w:pPr>
      <w:rPr>
        <w:rFonts w:hint="default"/>
      </w:rPr>
    </w:lvl>
    <w:lvl w:ilvl="1" w:tentative="0">
      <w:start w:val="1"/>
      <w:numFmt w:val="decimal"/>
      <w:lvlText w:val="8.%2"/>
      <w:lvlJc w:val="left"/>
      <w:pPr>
        <w:tabs>
          <w:tab w:val="left" w:pos="454"/>
        </w:tabs>
        <w:ind w:left="454" w:hanging="454"/>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00000005"/>
    <w:multiLevelType w:val="multilevel"/>
    <w:tmpl w:val="00000005"/>
    <w:lvl w:ilvl="0" w:tentative="0">
      <w:start w:val="1"/>
      <w:numFmt w:val="decimal"/>
      <w:lvlText w:val="%1"/>
      <w:lvlJc w:val="left"/>
      <w:pPr>
        <w:tabs>
          <w:tab w:val="left" w:pos="555"/>
        </w:tabs>
        <w:ind w:left="555" w:hanging="555"/>
      </w:pPr>
      <w:rPr>
        <w:rFonts w:hint="default"/>
      </w:rPr>
    </w:lvl>
    <w:lvl w:ilvl="1" w:tentative="0">
      <w:start w:val="1"/>
      <w:numFmt w:val="decimal"/>
      <w:lvlText w:val="7.%2"/>
      <w:lvlJc w:val="left"/>
      <w:pPr>
        <w:tabs>
          <w:tab w:val="left" w:pos="454"/>
        </w:tabs>
        <w:ind w:left="454" w:hanging="454"/>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00000006"/>
    <w:multiLevelType w:val="multilevel"/>
    <w:tmpl w:val="00000006"/>
    <w:lvl w:ilvl="0" w:tentative="0">
      <w:start w:val="1"/>
      <w:numFmt w:val="decimal"/>
      <w:lvlText w:val="%1"/>
      <w:lvlJc w:val="left"/>
      <w:pPr>
        <w:tabs>
          <w:tab w:val="left" w:pos="555"/>
        </w:tabs>
        <w:ind w:left="555" w:hanging="555"/>
      </w:pPr>
      <w:rPr>
        <w:rFonts w:hint="default"/>
      </w:rPr>
    </w:lvl>
    <w:lvl w:ilvl="1" w:tentative="0">
      <w:start w:val="1"/>
      <w:numFmt w:val="decimal"/>
      <w:lvlText w:val="6.%2"/>
      <w:lvlJc w:val="left"/>
      <w:pPr>
        <w:tabs>
          <w:tab w:val="left" w:pos="454"/>
        </w:tabs>
        <w:ind w:left="454" w:hanging="454"/>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00000007"/>
    <w:multiLevelType w:val="multilevel"/>
    <w:tmpl w:val="00000007"/>
    <w:lvl w:ilvl="0" w:tentative="0">
      <w:start w:val="1"/>
      <w:numFmt w:val="decimal"/>
      <w:lvlText w:val="%1"/>
      <w:lvlJc w:val="left"/>
      <w:pPr>
        <w:tabs>
          <w:tab w:val="left" w:pos="555"/>
        </w:tabs>
        <w:ind w:left="555" w:hanging="555"/>
      </w:pPr>
      <w:rPr>
        <w:rFonts w:hint="default"/>
      </w:rPr>
    </w:lvl>
    <w:lvl w:ilvl="1" w:tentative="0">
      <w:start w:val="1"/>
      <w:numFmt w:val="decimal"/>
      <w:lvlText w:val="5.%2"/>
      <w:lvlJc w:val="left"/>
      <w:pPr>
        <w:tabs>
          <w:tab w:val="left" w:pos="454"/>
        </w:tabs>
        <w:ind w:left="454" w:hanging="454"/>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0000008"/>
    <w:multiLevelType w:val="multilevel"/>
    <w:tmpl w:val="00000008"/>
    <w:lvl w:ilvl="0" w:tentative="0">
      <w:start w:val="1"/>
      <w:numFmt w:val="decimal"/>
      <w:lvlText w:val="%1"/>
      <w:lvlJc w:val="left"/>
      <w:pPr>
        <w:tabs>
          <w:tab w:val="left" w:pos="555"/>
        </w:tabs>
        <w:ind w:left="555" w:hanging="555"/>
      </w:pPr>
      <w:rPr>
        <w:rFonts w:hint="default"/>
      </w:rPr>
    </w:lvl>
    <w:lvl w:ilvl="1" w:tentative="0">
      <w:start w:val="1"/>
      <w:numFmt w:val="decimal"/>
      <w:lvlText w:val="4.%2"/>
      <w:lvlJc w:val="left"/>
      <w:pPr>
        <w:tabs>
          <w:tab w:val="left" w:pos="454"/>
        </w:tabs>
        <w:ind w:left="454" w:hanging="454"/>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09"/>
    <w:multiLevelType w:val="multilevel"/>
    <w:tmpl w:val="00000009"/>
    <w:lvl w:ilvl="0" w:tentative="0">
      <w:start w:val="1"/>
      <w:numFmt w:val="decimal"/>
      <w:lvlText w:val="%1"/>
      <w:lvlJc w:val="left"/>
      <w:pPr>
        <w:tabs>
          <w:tab w:val="left" w:pos="555"/>
        </w:tabs>
        <w:ind w:left="555" w:hanging="555"/>
      </w:pPr>
      <w:rPr>
        <w:rFonts w:hint="default"/>
      </w:rPr>
    </w:lvl>
    <w:lvl w:ilvl="1" w:tentative="0">
      <w:start w:val="1"/>
      <w:numFmt w:val="decimal"/>
      <w:lvlText w:val="3.%2"/>
      <w:lvlJc w:val="left"/>
      <w:pPr>
        <w:tabs>
          <w:tab w:val="left" w:pos="454"/>
        </w:tabs>
        <w:ind w:left="454" w:hanging="454"/>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0000000A"/>
    <w:multiLevelType w:val="multilevel"/>
    <w:tmpl w:val="0000000A"/>
    <w:lvl w:ilvl="0" w:tentative="0">
      <w:start w:val="1"/>
      <w:numFmt w:val="decimal"/>
      <w:lvlText w:val="%1"/>
      <w:lvlJc w:val="left"/>
      <w:pPr>
        <w:tabs>
          <w:tab w:val="left" w:pos="555"/>
        </w:tabs>
        <w:ind w:left="555" w:hanging="555"/>
      </w:pPr>
      <w:rPr>
        <w:rFonts w:hint="default"/>
      </w:rPr>
    </w:lvl>
    <w:lvl w:ilvl="1" w:tentative="0">
      <w:start w:val="1"/>
      <w:numFmt w:val="decimal"/>
      <w:lvlText w:val="2.%2"/>
      <w:lvlJc w:val="left"/>
      <w:pPr>
        <w:tabs>
          <w:tab w:val="left" w:pos="454"/>
        </w:tabs>
        <w:ind w:left="454" w:hanging="454"/>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0000000B"/>
    <w:multiLevelType w:val="multilevel"/>
    <w:tmpl w:val="0000000B"/>
    <w:lvl w:ilvl="0" w:tentative="0">
      <w:start w:val="1"/>
      <w:numFmt w:val="decimal"/>
      <w:lvlText w:val="%1"/>
      <w:lvlJc w:val="left"/>
      <w:pPr>
        <w:tabs>
          <w:tab w:val="left" w:pos="555"/>
        </w:tabs>
        <w:ind w:left="555" w:hanging="555"/>
      </w:pPr>
      <w:rPr>
        <w:rFonts w:hint="default"/>
      </w:rPr>
    </w:lvl>
    <w:lvl w:ilvl="1" w:tentative="0">
      <w:start w:val="1"/>
      <w:numFmt w:val="decimal"/>
      <w:lvlText w:val="10.%2"/>
      <w:lvlJc w:val="left"/>
      <w:pPr>
        <w:tabs>
          <w:tab w:val="left" w:pos="454"/>
        </w:tabs>
        <w:ind w:left="454" w:hanging="454"/>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0000000C"/>
    <w:multiLevelType w:val="multilevel"/>
    <w:tmpl w:val="0000000C"/>
    <w:lvl w:ilvl="0" w:tentative="0">
      <w:start w:val="1"/>
      <w:numFmt w:val="decimal"/>
      <w:lvlText w:val="%1"/>
      <w:lvlJc w:val="left"/>
      <w:pPr>
        <w:tabs>
          <w:tab w:val="left" w:pos="555"/>
        </w:tabs>
        <w:ind w:left="555" w:hanging="555"/>
      </w:pPr>
      <w:rPr>
        <w:rFonts w:hint="default"/>
      </w:rPr>
    </w:lvl>
    <w:lvl w:ilvl="1" w:tentative="0">
      <w:start w:val="1"/>
      <w:numFmt w:val="decimal"/>
      <w:lvlText w:val="11.%2"/>
      <w:lvlJc w:val="left"/>
      <w:pPr>
        <w:tabs>
          <w:tab w:val="left" w:pos="454"/>
        </w:tabs>
        <w:ind w:left="454" w:hanging="454"/>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0000000D"/>
    <w:multiLevelType w:val="multilevel"/>
    <w:tmpl w:val="0000000D"/>
    <w:lvl w:ilvl="0" w:tentative="0">
      <w:start w:val="1"/>
      <w:numFmt w:val="decimal"/>
      <w:lvlText w:val="%1"/>
      <w:lvlJc w:val="left"/>
      <w:pPr>
        <w:tabs>
          <w:tab w:val="left" w:pos="555"/>
        </w:tabs>
        <w:ind w:left="555" w:hanging="555"/>
      </w:pPr>
      <w:rPr>
        <w:rFonts w:hint="default"/>
      </w:rPr>
    </w:lvl>
    <w:lvl w:ilvl="1" w:tentative="0">
      <w:start w:val="1"/>
      <w:numFmt w:val="decimal"/>
      <w:lvlText w:val="12.%2"/>
      <w:lvlJc w:val="left"/>
      <w:pPr>
        <w:tabs>
          <w:tab w:val="left" w:pos="454"/>
        </w:tabs>
        <w:ind w:left="454" w:hanging="454"/>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5279BCCF"/>
    <w:multiLevelType w:val="singleLevel"/>
    <w:tmpl w:val="5279BCCF"/>
    <w:lvl w:ilvl="0" w:tentative="0">
      <w:start w:val="1"/>
      <w:numFmt w:val="chineseCounting"/>
      <w:suff w:val="nothing"/>
      <w:lvlText w:val="%1、"/>
      <w:lvlJc w:val="left"/>
    </w:lvl>
  </w:abstractNum>
  <w:abstractNum w:abstractNumId="14">
    <w:nsid w:val="63C4C4F8"/>
    <w:multiLevelType w:val="singleLevel"/>
    <w:tmpl w:val="63C4C4F8"/>
    <w:lvl w:ilvl="0" w:tentative="0">
      <w:start w:val="4"/>
      <w:numFmt w:val="decimal"/>
      <w:suff w:val="nothing"/>
      <w:lvlText w:val="%1."/>
      <w:lvlJc w:val="left"/>
    </w:lvl>
  </w:abstractNum>
  <w:abstractNum w:abstractNumId="15">
    <w:nsid w:val="63C4C58E"/>
    <w:multiLevelType w:val="singleLevel"/>
    <w:tmpl w:val="63C4C58E"/>
    <w:lvl w:ilvl="0" w:tentative="0">
      <w:start w:val="1"/>
      <w:numFmt w:val="decimal"/>
      <w:suff w:val="nothing"/>
      <w:lvlText w:val="(%1)"/>
      <w:lvlJc w:val="left"/>
    </w:lvl>
  </w:abstractNum>
  <w:abstractNum w:abstractNumId="16">
    <w:nsid w:val="63C4E7EB"/>
    <w:multiLevelType w:val="singleLevel"/>
    <w:tmpl w:val="63C4E7EB"/>
    <w:lvl w:ilvl="0" w:tentative="0">
      <w:start w:val="3"/>
      <w:numFmt w:val="decimal"/>
      <w:suff w:val="nothing"/>
      <w:lvlText w:val="%1."/>
      <w:lvlJc w:val="left"/>
    </w:lvl>
  </w:abstractNum>
  <w:abstractNum w:abstractNumId="17">
    <w:nsid w:val="63C4E838"/>
    <w:multiLevelType w:val="singleLevel"/>
    <w:tmpl w:val="63C4E838"/>
    <w:lvl w:ilvl="0" w:tentative="0">
      <w:start w:val="1"/>
      <w:numFmt w:val="decimal"/>
      <w:suff w:val="nothing"/>
      <w:lvlText w:val="（%1）"/>
      <w:lvlJc w:val="left"/>
    </w:lvl>
  </w:abstractNum>
  <w:num w:numId="1">
    <w:abstractNumId w:val="14"/>
  </w:num>
  <w:num w:numId="2">
    <w:abstractNumId w:val="15"/>
  </w:num>
  <w:num w:numId="3">
    <w:abstractNumId w:val="16"/>
  </w:num>
  <w:num w:numId="4">
    <w:abstractNumId w:val="17"/>
  </w:num>
  <w:num w:numId="5">
    <w:abstractNumId w:val="13"/>
  </w:num>
  <w:num w:numId="6">
    <w:abstractNumId w:val="0"/>
  </w:num>
  <w:num w:numId="7">
    <w:abstractNumId w:val="9"/>
  </w:num>
  <w:num w:numId="8">
    <w:abstractNumId w:val="8"/>
  </w:num>
  <w:num w:numId="9">
    <w:abstractNumId w:val="7"/>
  </w:num>
  <w:num w:numId="10">
    <w:abstractNumId w:val="6"/>
  </w:num>
  <w:num w:numId="11">
    <w:abstractNumId w:val="5"/>
  </w:num>
  <w:num w:numId="12">
    <w:abstractNumId w:val="4"/>
  </w:num>
  <w:num w:numId="13">
    <w:abstractNumId w:val="1"/>
  </w:num>
  <w:num w:numId="14">
    <w:abstractNumId w:val="3"/>
  </w:num>
  <w:num w:numId="15">
    <w:abstractNumId w:val="2"/>
  </w:num>
  <w:num w:numId="16">
    <w:abstractNumId w:val="10"/>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73B2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6A17"/>
    <w:rsid w:val="00153BAD"/>
    <w:rsid w:val="001653B8"/>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5C07"/>
    <w:rsid w:val="003C744F"/>
    <w:rsid w:val="00403DF3"/>
    <w:rsid w:val="004070A9"/>
    <w:rsid w:val="00422138"/>
    <w:rsid w:val="0043354C"/>
    <w:rsid w:val="00442978"/>
    <w:rsid w:val="004452A0"/>
    <w:rsid w:val="00455A6C"/>
    <w:rsid w:val="00455DA4"/>
    <w:rsid w:val="00464925"/>
    <w:rsid w:val="00481E2D"/>
    <w:rsid w:val="0049043E"/>
    <w:rsid w:val="00493194"/>
    <w:rsid w:val="004A1A9A"/>
    <w:rsid w:val="004B4DB9"/>
    <w:rsid w:val="004C55CC"/>
    <w:rsid w:val="004D50BE"/>
    <w:rsid w:val="004E33F5"/>
    <w:rsid w:val="004E36A1"/>
    <w:rsid w:val="004E73AA"/>
    <w:rsid w:val="004F4C81"/>
    <w:rsid w:val="005139A6"/>
    <w:rsid w:val="005143CB"/>
    <w:rsid w:val="0051745A"/>
    <w:rsid w:val="005272EC"/>
    <w:rsid w:val="0053263B"/>
    <w:rsid w:val="0054171B"/>
    <w:rsid w:val="00541C39"/>
    <w:rsid w:val="00541E8C"/>
    <w:rsid w:val="00542E4A"/>
    <w:rsid w:val="00543E6C"/>
    <w:rsid w:val="00552C8E"/>
    <w:rsid w:val="0056149B"/>
    <w:rsid w:val="0056496F"/>
    <w:rsid w:val="005659C3"/>
    <w:rsid w:val="00583414"/>
    <w:rsid w:val="005930E4"/>
    <w:rsid w:val="00596539"/>
    <w:rsid w:val="005B096A"/>
    <w:rsid w:val="005B54A2"/>
    <w:rsid w:val="005C1224"/>
    <w:rsid w:val="005C29D0"/>
    <w:rsid w:val="005D2380"/>
    <w:rsid w:val="005E1EB9"/>
    <w:rsid w:val="00602E70"/>
    <w:rsid w:val="0061429A"/>
    <w:rsid w:val="006250DE"/>
    <w:rsid w:val="00633D07"/>
    <w:rsid w:val="00647203"/>
    <w:rsid w:val="00654A1F"/>
    <w:rsid w:val="006602E3"/>
    <w:rsid w:val="00660FA8"/>
    <w:rsid w:val="006614A7"/>
    <w:rsid w:val="006630B1"/>
    <w:rsid w:val="0066507C"/>
    <w:rsid w:val="00691178"/>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32B2C"/>
    <w:rsid w:val="0074076E"/>
    <w:rsid w:val="00760461"/>
    <w:rsid w:val="00764CB5"/>
    <w:rsid w:val="00767902"/>
    <w:rsid w:val="00774AA5"/>
    <w:rsid w:val="00781446"/>
    <w:rsid w:val="00785EAB"/>
    <w:rsid w:val="007B035C"/>
    <w:rsid w:val="007B519E"/>
    <w:rsid w:val="007C1D4B"/>
    <w:rsid w:val="007C5245"/>
    <w:rsid w:val="007C5E3A"/>
    <w:rsid w:val="007D12C9"/>
    <w:rsid w:val="007E4188"/>
    <w:rsid w:val="007E566B"/>
    <w:rsid w:val="008000F1"/>
    <w:rsid w:val="008203F5"/>
    <w:rsid w:val="00824F01"/>
    <w:rsid w:val="00834196"/>
    <w:rsid w:val="00837BD5"/>
    <w:rsid w:val="008409E6"/>
    <w:rsid w:val="00843C1F"/>
    <w:rsid w:val="00850A0B"/>
    <w:rsid w:val="0085211E"/>
    <w:rsid w:val="00853426"/>
    <w:rsid w:val="0086565B"/>
    <w:rsid w:val="00876B3D"/>
    <w:rsid w:val="00886707"/>
    <w:rsid w:val="00890618"/>
    <w:rsid w:val="008A6C8E"/>
    <w:rsid w:val="008B0571"/>
    <w:rsid w:val="008B515F"/>
    <w:rsid w:val="008D427F"/>
    <w:rsid w:val="008E1232"/>
    <w:rsid w:val="008E2101"/>
    <w:rsid w:val="008E28BF"/>
    <w:rsid w:val="008E5BFF"/>
    <w:rsid w:val="008F12E6"/>
    <w:rsid w:val="008F17BA"/>
    <w:rsid w:val="00911899"/>
    <w:rsid w:val="00914188"/>
    <w:rsid w:val="00915BB1"/>
    <w:rsid w:val="00926710"/>
    <w:rsid w:val="00946632"/>
    <w:rsid w:val="00963D0C"/>
    <w:rsid w:val="00964F12"/>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653F7"/>
    <w:rsid w:val="00B7114E"/>
    <w:rsid w:val="00B7180B"/>
    <w:rsid w:val="00B7229E"/>
    <w:rsid w:val="00B822C1"/>
    <w:rsid w:val="00B9008D"/>
    <w:rsid w:val="00B91439"/>
    <w:rsid w:val="00B92A65"/>
    <w:rsid w:val="00B97C1B"/>
    <w:rsid w:val="00BA5317"/>
    <w:rsid w:val="00BD1570"/>
    <w:rsid w:val="00BD4987"/>
    <w:rsid w:val="00BE542F"/>
    <w:rsid w:val="00BF4429"/>
    <w:rsid w:val="00BF5D4D"/>
    <w:rsid w:val="00BF7F77"/>
    <w:rsid w:val="00C275C0"/>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5A8D"/>
    <w:rsid w:val="00D26CD5"/>
    <w:rsid w:val="00D304CC"/>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E0BEB"/>
    <w:rsid w:val="00EF4CCE"/>
    <w:rsid w:val="00EF70E4"/>
    <w:rsid w:val="00F04025"/>
    <w:rsid w:val="00F12ED9"/>
    <w:rsid w:val="00F52927"/>
    <w:rsid w:val="00F713AC"/>
    <w:rsid w:val="00F7420C"/>
    <w:rsid w:val="00FA2508"/>
    <w:rsid w:val="00FA3558"/>
    <w:rsid w:val="00FA7FE7"/>
    <w:rsid w:val="00FC1F42"/>
    <w:rsid w:val="00FC3BBE"/>
    <w:rsid w:val="00FC53A3"/>
    <w:rsid w:val="00FC5409"/>
    <w:rsid w:val="00FD30C9"/>
    <w:rsid w:val="00FE31F2"/>
    <w:rsid w:val="00FE393E"/>
    <w:rsid w:val="00FE4853"/>
    <w:rsid w:val="00FF29E1"/>
    <w:rsid w:val="00FF4CFD"/>
    <w:rsid w:val="00FF782D"/>
    <w:rsid w:val="01924C9B"/>
    <w:rsid w:val="03F24A85"/>
    <w:rsid w:val="045A31AF"/>
    <w:rsid w:val="057272C6"/>
    <w:rsid w:val="06404749"/>
    <w:rsid w:val="076C72BA"/>
    <w:rsid w:val="092C4250"/>
    <w:rsid w:val="09852193"/>
    <w:rsid w:val="09997CA2"/>
    <w:rsid w:val="0ABB79A6"/>
    <w:rsid w:val="0B1F76CB"/>
    <w:rsid w:val="0BAC6E8F"/>
    <w:rsid w:val="0D86333C"/>
    <w:rsid w:val="0D8E3456"/>
    <w:rsid w:val="0FC95E75"/>
    <w:rsid w:val="13A51AEF"/>
    <w:rsid w:val="14154CA8"/>
    <w:rsid w:val="143D6344"/>
    <w:rsid w:val="19B412DF"/>
    <w:rsid w:val="1A57655A"/>
    <w:rsid w:val="1BD20536"/>
    <w:rsid w:val="1F166B78"/>
    <w:rsid w:val="1F8B19CE"/>
    <w:rsid w:val="20AA65A3"/>
    <w:rsid w:val="213B08E1"/>
    <w:rsid w:val="22A434EE"/>
    <w:rsid w:val="22D437C8"/>
    <w:rsid w:val="230F723C"/>
    <w:rsid w:val="254554A4"/>
    <w:rsid w:val="2B921524"/>
    <w:rsid w:val="2EBA6F40"/>
    <w:rsid w:val="2EDA20FE"/>
    <w:rsid w:val="302A5C70"/>
    <w:rsid w:val="309C61AC"/>
    <w:rsid w:val="32DF1FDC"/>
    <w:rsid w:val="33AF4D11"/>
    <w:rsid w:val="345A0255"/>
    <w:rsid w:val="382F0AB9"/>
    <w:rsid w:val="3B605478"/>
    <w:rsid w:val="3C2A4B41"/>
    <w:rsid w:val="3C846FD1"/>
    <w:rsid w:val="410A7C54"/>
    <w:rsid w:val="41F10240"/>
    <w:rsid w:val="41F90F69"/>
    <w:rsid w:val="4242646B"/>
    <w:rsid w:val="432456C4"/>
    <w:rsid w:val="43577787"/>
    <w:rsid w:val="43912EA0"/>
    <w:rsid w:val="43D0018B"/>
    <w:rsid w:val="44F35A88"/>
    <w:rsid w:val="45C168FC"/>
    <w:rsid w:val="491263A7"/>
    <w:rsid w:val="49796A18"/>
    <w:rsid w:val="4A2A2F7A"/>
    <w:rsid w:val="4BA146F8"/>
    <w:rsid w:val="4ED7257A"/>
    <w:rsid w:val="4F9D629B"/>
    <w:rsid w:val="4FD203D8"/>
    <w:rsid w:val="53887DEA"/>
    <w:rsid w:val="539E1611"/>
    <w:rsid w:val="55481377"/>
    <w:rsid w:val="568048F7"/>
    <w:rsid w:val="57784E8F"/>
    <w:rsid w:val="58AB72B7"/>
    <w:rsid w:val="5C4C402C"/>
    <w:rsid w:val="5DCF5B3B"/>
    <w:rsid w:val="5F2E1322"/>
    <w:rsid w:val="6106379C"/>
    <w:rsid w:val="655F6E5B"/>
    <w:rsid w:val="657F34D1"/>
    <w:rsid w:val="67A54CA2"/>
    <w:rsid w:val="67E46C83"/>
    <w:rsid w:val="69A555DF"/>
    <w:rsid w:val="69D16034"/>
    <w:rsid w:val="6ABC1316"/>
    <w:rsid w:val="6BF95E33"/>
    <w:rsid w:val="6F785D28"/>
    <w:rsid w:val="6FA46DD8"/>
    <w:rsid w:val="702656EA"/>
    <w:rsid w:val="72872385"/>
    <w:rsid w:val="72E96F9A"/>
    <w:rsid w:val="73CD470A"/>
    <w:rsid w:val="796E7CD8"/>
    <w:rsid w:val="79A9740A"/>
    <w:rsid w:val="79F964A8"/>
    <w:rsid w:val="7A3A0597"/>
    <w:rsid w:val="7AC932FE"/>
    <w:rsid w:val="7B132478"/>
    <w:rsid w:val="7BB809BF"/>
    <w:rsid w:val="7C5E6C17"/>
    <w:rsid w:val="7E8E78BA"/>
    <w:rsid w:val="7F70730A"/>
    <w:rsid w:val="FCEB805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6"/>
    <w:qFormat/>
    <w:uiPriority w:val="0"/>
    <w:pPr>
      <w:spacing w:after="120"/>
    </w:pPr>
    <w:rPr>
      <w:color w:val="000000"/>
    </w:rPr>
  </w:style>
  <w:style w:type="paragraph" w:styleId="5">
    <w:name w:val="Normal Indent"/>
    <w:basedOn w:val="1"/>
    <w:qFormat/>
    <w:uiPriority w:val="0"/>
    <w:pPr>
      <w:ind w:firstLine="420"/>
    </w:pPr>
  </w:style>
  <w:style w:type="paragraph" w:styleId="6">
    <w:name w:val="Document Map"/>
    <w:basedOn w:val="1"/>
    <w:link w:val="23"/>
    <w:semiHidden/>
    <w:unhideWhenUsed/>
    <w:qFormat/>
    <w:uiPriority w:val="99"/>
    <w:rPr>
      <w:rFonts w:ascii="宋体"/>
      <w:sz w:val="18"/>
      <w:szCs w:val="18"/>
    </w:rPr>
  </w:style>
  <w:style w:type="paragraph" w:styleId="7">
    <w:name w:val="Plain Text"/>
    <w:basedOn w:val="1"/>
    <w:link w:val="18"/>
    <w:qFormat/>
    <w:uiPriority w:val="0"/>
    <w:rPr>
      <w:rFonts w:ascii="宋体" w:hAnsi="Courier New"/>
    </w:rPr>
  </w:style>
  <w:style w:type="paragraph" w:styleId="8">
    <w:name w:val="Date"/>
    <w:basedOn w:val="1"/>
    <w:next w:val="1"/>
    <w:link w:val="17"/>
    <w:qFormat/>
    <w:uiPriority w:val="0"/>
    <w:pPr>
      <w:ind w:left="100" w:leftChars="2500"/>
    </w:pPr>
    <w:rPr>
      <w:sz w:val="28"/>
    </w:rPr>
  </w:style>
  <w:style w:type="paragraph" w:styleId="9">
    <w:name w:val="Balloon Text"/>
    <w:basedOn w:val="1"/>
    <w:link w:val="29"/>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正文文本 Char"/>
    <w:basedOn w:val="14"/>
    <w:link w:val="2"/>
    <w:qFormat/>
    <w:uiPriority w:val="0"/>
    <w:rPr>
      <w:rFonts w:ascii="Times New Roman" w:hAnsi="Times New Roman" w:eastAsia="宋体" w:cs="Times New Roman"/>
      <w:color w:val="000000"/>
      <w:szCs w:val="20"/>
    </w:rPr>
  </w:style>
  <w:style w:type="character" w:customStyle="1" w:styleId="17">
    <w:name w:val="日期 Char"/>
    <w:basedOn w:val="14"/>
    <w:link w:val="8"/>
    <w:qFormat/>
    <w:uiPriority w:val="0"/>
    <w:rPr>
      <w:rFonts w:ascii="Times New Roman" w:hAnsi="Times New Roman" w:eastAsia="宋体" w:cs="Times New Roman"/>
      <w:sz w:val="28"/>
      <w:szCs w:val="20"/>
    </w:rPr>
  </w:style>
  <w:style w:type="character" w:customStyle="1" w:styleId="18">
    <w:name w:val="纯文本 Char"/>
    <w:basedOn w:val="14"/>
    <w:link w:val="7"/>
    <w:qFormat/>
    <w:uiPriority w:val="0"/>
    <w:rPr>
      <w:rFonts w:ascii="宋体" w:hAnsi="Courier New" w:eastAsia="宋体" w:cs="Times New Roman"/>
      <w:szCs w:val="20"/>
    </w:rPr>
  </w:style>
  <w:style w:type="character" w:customStyle="1" w:styleId="19">
    <w:name w:val="页眉 Char"/>
    <w:basedOn w:val="14"/>
    <w:link w:val="11"/>
    <w:qFormat/>
    <w:uiPriority w:val="99"/>
    <w:rPr>
      <w:rFonts w:ascii="Times New Roman" w:hAnsi="Times New Roman" w:eastAsia="宋体" w:cs="Times New Roman"/>
      <w:sz w:val="18"/>
      <w:szCs w:val="18"/>
    </w:rPr>
  </w:style>
  <w:style w:type="character" w:customStyle="1" w:styleId="20">
    <w:name w:val="页脚 Char"/>
    <w:basedOn w:val="14"/>
    <w:link w:val="10"/>
    <w:qFormat/>
    <w:uiPriority w:val="99"/>
    <w:rPr>
      <w:rFonts w:ascii="Times New Roman" w:hAnsi="Times New Roman" w:eastAsia="宋体" w:cs="Times New Roman"/>
      <w:sz w:val="18"/>
      <w:szCs w:val="18"/>
    </w:rPr>
  </w:style>
  <w:style w:type="character" w:customStyle="1" w:styleId="21">
    <w:name w:val="标题 1 Char"/>
    <w:basedOn w:val="14"/>
    <w:link w:val="3"/>
    <w:qFormat/>
    <w:uiPriority w:val="9"/>
    <w:rPr>
      <w:rFonts w:ascii="Times New Roman" w:hAnsi="Times New Roman" w:eastAsia="宋体" w:cs="Times New Roman"/>
      <w:b/>
      <w:bCs/>
      <w:kern w:val="44"/>
      <w:sz w:val="44"/>
      <w:szCs w:val="44"/>
    </w:rPr>
  </w:style>
  <w:style w:type="character" w:customStyle="1" w:styleId="22">
    <w:name w:val="标题 2 Char"/>
    <w:basedOn w:val="14"/>
    <w:link w:val="4"/>
    <w:qFormat/>
    <w:uiPriority w:val="9"/>
    <w:rPr>
      <w:rFonts w:asciiTheme="majorHAnsi" w:hAnsiTheme="majorHAnsi" w:eastAsiaTheme="majorEastAsia" w:cstheme="majorBidi"/>
      <w:b/>
      <w:bCs/>
      <w:sz w:val="32"/>
      <w:szCs w:val="32"/>
    </w:rPr>
  </w:style>
  <w:style w:type="character" w:customStyle="1" w:styleId="23">
    <w:name w:val="文档结构图 Char"/>
    <w:basedOn w:val="14"/>
    <w:link w:val="6"/>
    <w:semiHidden/>
    <w:qFormat/>
    <w:uiPriority w:val="99"/>
    <w:rPr>
      <w:rFonts w:ascii="宋体" w:hAnsi="Times New Roman" w:eastAsia="宋体" w:cs="Times New Roman"/>
      <w:sz w:val="18"/>
      <w:szCs w:val="18"/>
    </w:rPr>
  </w:style>
  <w:style w:type="paragraph" w:customStyle="1" w:styleId="24">
    <w:name w:val="列出段落1"/>
    <w:basedOn w:val="1"/>
    <w:link w:val="25"/>
    <w:qFormat/>
    <w:uiPriority w:val="34"/>
    <w:pPr>
      <w:ind w:firstLine="420" w:firstLineChars="200"/>
    </w:pPr>
    <w:rPr>
      <w:sz w:val="24"/>
      <w:szCs w:val="24"/>
    </w:rPr>
  </w:style>
  <w:style w:type="character" w:customStyle="1" w:styleId="25">
    <w:name w:val="列出段落 Char"/>
    <w:link w:val="24"/>
    <w:qFormat/>
    <w:uiPriority w:val="34"/>
    <w:rPr>
      <w:rFonts w:ascii="Times New Roman" w:hAnsi="Times New Roman" w:eastAsia="宋体" w:cs="Times New Roman"/>
      <w:sz w:val="24"/>
      <w:szCs w:val="24"/>
    </w:rPr>
  </w:style>
  <w:style w:type="paragraph"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FZXiaoBiaoSong-B05S" w:hAnsi="Calibri" w:eastAsia="FZXiaoBiaoSong-B05S" w:cs="FZXiaoBiaoSong-B05S"/>
      <w:color w:val="000000"/>
      <w:sz w:val="24"/>
      <w:szCs w:val="24"/>
      <w:lang w:val="en-US" w:eastAsia="zh-CN" w:bidi="ar-SA"/>
    </w:rPr>
  </w:style>
  <w:style w:type="paragraph" w:customStyle="1" w:styleId="2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9">
    <w:name w:val="批注框文本 Char"/>
    <w:basedOn w:val="14"/>
    <w:link w:val="9"/>
    <w:semiHidden/>
    <w:qFormat/>
    <w:uiPriority w:val="99"/>
    <w:rPr>
      <w:rFonts w:ascii="Times New Roman" w:hAnsi="Times New Roman" w:eastAsia="宋体" w:cs="Times New Roman"/>
      <w:sz w:val="18"/>
      <w:szCs w:val="18"/>
    </w:rPr>
  </w:style>
  <w:style w:type="paragraph" w:customStyle="1" w:styleId="30">
    <w:name w:val="Body text|1"/>
    <w:basedOn w:val="1"/>
    <w:qFormat/>
    <w:uiPriority w:val="0"/>
    <w:pPr>
      <w:spacing w:line="420" w:lineRule="auto"/>
      <w:ind w:firstLine="400"/>
    </w:pPr>
    <w:rPr>
      <w:rFonts w:ascii="宋体" w:hAnsi="宋体" w:cs="宋体"/>
      <w:sz w:val="22"/>
      <w:szCs w:val="22"/>
      <w:lang w:val="zh-TW" w:eastAsia="zh-TW" w:bidi="zh-TW"/>
    </w:rPr>
  </w:style>
  <w:style w:type="paragraph" w:customStyle="1" w:styleId="3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E345CAE2-DFB8-4DD8-BBB4-2D27B9C065D6}">
  <ds:schemaRefs/>
</ds:datastoreItem>
</file>

<file path=docProps/app.xml><?xml version="1.0" encoding="utf-8"?>
<Properties xmlns="http://schemas.openxmlformats.org/officeDocument/2006/extended-properties" xmlns:vt="http://schemas.openxmlformats.org/officeDocument/2006/docPropsVTypes">
  <Company>Microsoft</Company>
  <Pages>43</Pages>
  <Words>3485</Words>
  <Characters>19866</Characters>
  <Lines>165</Lines>
  <Paragraphs>46</Paragraphs>
  <TotalTime>44</TotalTime>
  <ScaleCrop>false</ScaleCrop>
  <LinksUpToDate>false</LinksUpToDate>
  <CharactersWithSpaces>23305</CharactersWithSpaces>
  <Application>WPS Office WWO_wpscloud_20230920110637-dec0f19faa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2023-12-26T13:21:00Z</dcterms:created>
  <dc:creator>Administrator</dc:creator>
  <cp:lastModifiedBy>沈康</cp:lastModifiedBy>
  <dcterms:modified xsi:type="dcterms:W3CDTF">2025-09-24T17:01:40Z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9662EAC886894A489FE827E69A58EF12</vt:lpwstr>
  </property>
</Properties>
</file>